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E13A3F">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000000" w:rsidRDefault="00E13A3F">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000000">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25.12.2023</w:t>
            </w:r>
          </w:p>
        </w:tc>
      </w:tr>
      <w:tr w:rsidR="00000000">
        <w:tblPrEx>
          <w:tblCellMar>
            <w:top w:w="0" w:type="dxa"/>
            <w:bottom w:w="0" w:type="dxa"/>
          </w:tblCellMar>
        </w:tblPrEx>
        <w:trPr>
          <w:trHeight w:val="300"/>
        </w:trPr>
        <w:tc>
          <w:tcPr>
            <w:tcW w:w="55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000000">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23/1</w:t>
            </w:r>
          </w:p>
        </w:tc>
      </w:tr>
      <w:tr w:rsidR="00000000">
        <w:tblPrEx>
          <w:tblCellMar>
            <w:top w:w="0" w:type="dxa"/>
            <w:bottom w:w="0" w:type="dxa"/>
          </w:tblCellMar>
        </w:tblPrEx>
        <w:trPr>
          <w:trHeight w:val="300"/>
        </w:trPr>
        <w:tc>
          <w:tcPr>
            <w:tcW w:w="55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000000" w:rsidRDefault="00E13A3F">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0"/>
          <w:szCs w:val="20"/>
        </w:rPr>
        <w:tab/>
      </w:r>
      <w:r>
        <w:rPr>
          <w:rFonts w:ascii="Times New Roman CYR" w:hAnsi="Times New Roman CYR" w:cs="Times New Roman CYR"/>
          <w:sz w:val="24"/>
          <w:szCs w:val="24"/>
        </w:rPr>
        <w:t xml:space="preserve">Підтверджую ідентичність та достовірність інформації, що розкрита відповідно до вимог Положення про розкриття </w:t>
      </w:r>
      <w:r>
        <w:rPr>
          <w:rFonts w:ascii="Times New Roman CYR" w:hAnsi="Times New Roman CYR" w:cs="Times New Roman CYR"/>
          <w:sz w:val="24"/>
          <w:szCs w:val="24"/>
        </w:rPr>
        <w:t>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w:t>
      </w:r>
      <w:r>
        <w:rPr>
          <w:rFonts w:ascii="Times New Roman CYR" w:hAnsi="Times New Roman CYR" w:cs="Times New Roman CYR"/>
          <w:sz w:val="24"/>
          <w:szCs w:val="24"/>
        </w:rPr>
        <w:t>ложення).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640"/>
        <w:gridCol w:w="550"/>
        <w:gridCol w:w="1020"/>
        <w:gridCol w:w="50"/>
        <w:gridCol w:w="500"/>
        <w:gridCol w:w="4320"/>
      </w:tblGrid>
      <w:tr w:rsidR="00000000">
        <w:tblPrEx>
          <w:tblCellMar>
            <w:top w:w="0" w:type="dxa"/>
            <w:bottom w:w="0" w:type="dxa"/>
          </w:tblCellMar>
        </w:tblPrEx>
        <w:trPr>
          <w:trHeight w:val="200"/>
        </w:trPr>
        <w:tc>
          <w:tcPr>
            <w:tcW w:w="3640" w:type="dxa"/>
            <w:tcBorders>
              <w:top w:val="nil"/>
              <w:left w:val="nil"/>
              <w:bottom w:val="single" w:sz="6" w:space="0" w:color="auto"/>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w:t>
            </w:r>
          </w:p>
        </w:tc>
        <w:tc>
          <w:tcPr>
            <w:tcW w:w="550" w:type="dxa"/>
            <w:tcBorders>
              <w:top w:val="nil"/>
              <w:left w:val="nil"/>
              <w:bottom w:val="nil"/>
              <w:right w:val="nil"/>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020" w:type="dxa"/>
            <w:tcBorders>
              <w:top w:val="nil"/>
              <w:left w:val="nil"/>
              <w:bottom w:val="single" w:sz="6" w:space="0" w:color="auto"/>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550" w:type="dxa"/>
            <w:gridSpan w:val="2"/>
            <w:tcBorders>
              <w:top w:val="nil"/>
              <w:left w:val="nil"/>
              <w:bottom w:val="nil"/>
              <w:right w:val="nil"/>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320" w:type="dxa"/>
            <w:tcBorders>
              <w:top w:val="nil"/>
              <w:left w:val="nil"/>
              <w:bottom w:val="single" w:sz="6" w:space="0" w:color="auto"/>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Яхниця I.О.</w:t>
            </w:r>
          </w:p>
        </w:tc>
      </w:tr>
      <w:tr w:rsidR="00000000">
        <w:tblPrEx>
          <w:tblCellMar>
            <w:top w:w="0" w:type="dxa"/>
            <w:bottom w:w="0" w:type="dxa"/>
          </w:tblCellMar>
        </w:tblPrEx>
        <w:trPr>
          <w:trHeight w:val="200"/>
        </w:trPr>
        <w:tc>
          <w:tcPr>
            <w:tcW w:w="3640" w:type="dxa"/>
            <w:tcBorders>
              <w:top w:val="nil"/>
              <w:left w:val="nil"/>
              <w:bottom w:val="nil"/>
              <w:right w:val="nil"/>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1620" w:type="dxa"/>
            <w:gridSpan w:val="3"/>
            <w:tcBorders>
              <w:top w:val="nil"/>
              <w:left w:val="nil"/>
              <w:bottom w:val="nil"/>
              <w:right w:val="nil"/>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4820" w:type="dxa"/>
            <w:gridSpan w:val="2"/>
            <w:tcBorders>
              <w:top w:val="nil"/>
              <w:left w:val="nil"/>
              <w:bottom w:val="nil"/>
              <w:right w:val="nil"/>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rsidR="00000000" w:rsidRDefault="00E13A3F">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E13A3F">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Проміжна інформація емітента цінних паперів</w:t>
      </w: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1 квартал 2023 року</w:t>
      </w:r>
    </w:p>
    <w:p w:rsidR="00000000" w:rsidRDefault="00E13A3F">
      <w:pPr>
        <w:widowControl w:val="0"/>
        <w:autoSpaceDE w:val="0"/>
        <w:autoSpaceDN w:val="0"/>
        <w:adjustRightInd w:val="0"/>
        <w:spacing w:after="0" w:line="240" w:lineRule="auto"/>
        <w:rPr>
          <w:rFonts w:ascii="Times New Roman CYR" w:hAnsi="Times New Roman CYR" w:cs="Times New Roman CYR"/>
          <w:b/>
          <w:bCs/>
          <w:sz w:val="24"/>
          <w:szCs w:val="24"/>
        </w:r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 Загальні відомості</w:t>
      </w: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 Приватне акцiонерне товариство "Страхова компанiя "САТIС"</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 Приватне акціонерне товариство</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 22963118</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 03028, мiсто Київ, Саперно-Слобi</w:t>
      </w:r>
      <w:r>
        <w:rPr>
          <w:rFonts w:ascii="Times New Roman CYR" w:hAnsi="Times New Roman CYR" w:cs="Times New Roman CYR"/>
          <w:sz w:val="24"/>
          <w:szCs w:val="24"/>
        </w:rPr>
        <w:t>дська, 22</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5. Міжміський код, телефон та факс: 0445021038, </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 office@satis.kiev.ua</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Найменування, ідентифікаційний код юридичної особи, країна реєстрації юридичної особи та номер свідоцтва про включення до Реєстру осіб, уповнова</w:t>
      </w:r>
      <w:r>
        <w:rPr>
          <w:rFonts w:ascii="Times New Roman CYR" w:hAnsi="Times New Roman CYR" w:cs="Times New Roman CYR"/>
          <w:sz w:val="24"/>
          <w:szCs w:val="24"/>
        </w:rPr>
        <w:t xml:space="preserve">жених надавати інформаційні послуги на фондовому ринку, особи, яка здійснює оприлюднення регульованої інформації від імені учасника фондового ринку (у разі здійснення оприлюднення): </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8. Найменування, ідентифікаційний код юридичної особи, країна реєстрації </w:t>
      </w:r>
      <w:r>
        <w:rPr>
          <w:rFonts w:ascii="Times New Roman CYR" w:hAnsi="Times New Roman CYR" w:cs="Times New Roman CYR"/>
          <w:sz w:val="24"/>
          <w:szCs w:val="24"/>
        </w:rPr>
        <w:t>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w:t>
      </w:r>
      <w:r>
        <w:rPr>
          <w:rFonts w:ascii="Times New Roman CYR" w:hAnsi="Times New Roman CYR" w:cs="Times New Roman CYR"/>
          <w:sz w:val="24"/>
          <w:szCs w:val="24"/>
        </w:rPr>
        <w:t>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iнфраструктури фондового ринку України", 21676262, Україна, DR/00002/ARM</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II. Дані про дату та м</w:t>
      </w:r>
      <w:r>
        <w:rPr>
          <w:rFonts w:ascii="Times New Roman CYR" w:hAnsi="Times New Roman CYR" w:cs="Times New Roman CYR"/>
          <w:b/>
          <w:bCs/>
          <w:sz w:val="24"/>
          <w:szCs w:val="24"/>
        </w:rPr>
        <w:t>ісце оприлюднення проміжної інформації</w:t>
      </w: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1500"/>
      </w:tblGrid>
      <w:tr w:rsidR="00000000">
        <w:tblPrEx>
          <w:tblCellMar>
            <w:top w:w="0" w:type="dxa"/>
            <w:bottom w:w="0" w:type="dxa"/>
          </w:tblCellMar>
        </w:tblPrEx>
        <w:trPr>
          <w:trHeight w:val="300"/>
        </w:trPr>
        <w:tc>
          <w:tcPr>
            <w:tcW w:w="445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Проміжну інформацію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www.satis.ua</w:t>
            </w:r>
          </w:p>
        </w:tc>
        <w:tc>
          <w:tcPr>
            <w:tcW w:w="1500" w:type="dxa"/>
            <w:tcBorders>
              <w:top w:val="nil"/>
              <w:left w:val="nil"/>
              <w:bottom w:val="single" w:sz="6" w:space="0" w:color="auto"/>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30.12.2023</w:t>
            </w:r>
          </w:p>
        </w:tc>
      </w:tr>
      <w:tr w:rsidR="00000000">
        <w:tblPrEx>
          <w:tblCellMar>
            <w:top w:w="0" w:type="dxa"/>
            <w:bottom w:w="0" w:type="dxa"/>
          </w:tblCellMar>
        </w:tblPrEx>
        <w:trPr>
          <w:trHeight w:val="300"/>
        </w:trPr>
        <w:tc>
          <w:tcPr>
            <w:tcW w:w="445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сторінки)</w:t>
            </w:r>
          </w:p>
        </w:tc>
        <w:tc>
          <w:tcPr>
            <w:tcW w:w="15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000000" w:rsidRDefault="00E13A3F">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850" w:right="850" w:bottom="850" w:left="1400" w:header="720" w:footer="720" w:gutter="0"/>
          <w:cols w:space="720"/>
          <w:noEndnote/>
        </w:sect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Зміст</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8"/>
          <w:szCs w:val="28"/>
        </w:rPr>
        <w:tab/>
      </w:r>
      <w:r>
        <w:rPr>
          <w:rFonts w:ascii="Times New Roman CYR" w:hAnsi="Times New Roman CYR" w:cs="Times New Roman CYR"/>
          <w:sz w:val="24"/>
          <w:szCs w:val="24"/>
        </w:rPr>
        <w:t>Відмітьте (Х), якщо відповідна інформація міститься у проміжній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00"/>
        <w:gridCol w:w="1000"/>
      </w:tblGrid>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Основні відомості про емітента</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одержані ліцензії на окремі види діяльності</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посадових осіб емітента</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господарську та фінансову діяльність емітента:</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зобов'язання та забезпечення емітента</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собівартість реалізован</w:t>
            </w:r>
            <w:r>
              <w:rPr>
                <w:rFonts w:ascii="Times New Roman CYR" w:hAnsi="Times New Roman CYR" w:cs="Times New Roman CYR"/>
                <w:sz w:val="24"/>
                <w:szCs w:val="24"/>
              </w:rPr>
              <w:t>ої продукції</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Відомості про цінні папери емітента:</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випуски акцій емітента</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облігації емітента</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інші цінні папери, випущені емітентом</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4) інформація про похідні цінні папери емітента</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6. Відомості щодо участі емітента в юридичних особах </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Інформація щодо корпоративного секретаря</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Інформація про вчинення значних правочинів</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9. Інформація про вчинення правоч</w:t>
            </w:r>
            <w:r>
              <w:rPr>
                <w:rFonts w:ascii="Times New Roman CYR" w:hAnsi="Times New Roman CYR" w:cs="Times New Roman CYR"/>
                <w:sz w:val="24"/>
                <w:szCs w:val="24"/>
              </w:rPr>
              <w:t xml:space="preserve">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 </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10. Інформація про будь-які обмеження щодо обігу цінних паперів емітента, </w:t>
            </w:r>
            <w:r>
              <w:rPr>
                <w:rFonts w:ascii="Times New Roman CYR" w:hAnsi="Times New Roman CYR" w:cs="Times New Roman CYR"/>
                <w:sz w:val="24"/>
                <w:szCs w:val="24"/>
              </w:rPr>
              <w:t>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кількі</w:t>
            </w:r>
            <w:r>
              <w:rPr>
                <w:rFonts w:ascii="Times New Roman CYR" w:hAnsi="Times New Roman CYR" w:cs="Times New Roman CYR"/>
                <w:sz w:val="24"/>
                <w:szCs w:val="24"/>
              </w:rPr>
              <w:t>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 Інформація про забезпечення випуску боргових цінних паперів</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12. Інформація про конвертацію цінних паперів</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13. Інформація про заміну управителя</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 Інформація про керуючого іпотекою</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 Інформація про трансформацію (перетворення) іпотечних активів</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16. Інформація про зміни в реєстрі забезпечення іпотечних сертифікатів за кожним консолідованим іпотечним боргом</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 Інформація про іпотечне покр</w:t>
            </w:r>
            <w:r>
              <w:rPr>
                <w:rFonts w:ascii="Times New Roman CYR" w:hAnsi="Times New Roman CYR" w:cs="Times New Roman CYR"/>
                <w:sz w:val="24"/>
                <w:szCs w:val="24"/>
              </w:rPr>
              <w:t>иття:</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заміну іпотечних активів у складі іпотечного покриття</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w:t>
            </w:r>
            <w:r>
              <w:rPr>
                <w:rFonts w:ascii="Times New Roman CYR" w:hAnsi="Times New Roman CYR" w:cs="Times New Roman CYR"/>
                <w:sz w:val="24"/>
                <w:szCs w:val="24"/>
              </w:rPr>
              <w:t>ріоду</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4) інформація про заміни іпотечних активів у складі іпотечного покриття або включення нових іпотечних активів до складу іпотечного покриття </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18. Інформація про заміну фінансової установи, яка здійснює обслуговування іпотечних активів</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19. Пр</w:t>
            </w:r>
            <w:r>
              <w:rPr>
                <w:rFonts w:ascii="Times New Roman CYR" w:hAnsi="Times New Roman CYR" w:cs="Times New Roman CYR"/>
                <w:sz w:val="24"/>
                <w:szCs w:val="24"/>
              </w:rPr>
              <w:t>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20. Звіт про стан об'єкта нерухомості (у разі емісії цільових облігацій підприємств</w:t>
            </w:r>
            <w:r>
              <w:rPr>
                <w:rFonts w:ascii="Times New Roman CYR" w:hAnsi="Times New Roman CYR" w:cs="Times New Roman CYR"/>
                <w:sz w:val="24"/>
                <w:szCs w:val="24"/>
              </w:rPr>
              <w:t>, виконання зобов'язань за якими здійснюється шляхом передачі об'єкта (частини об'єкта) житлового будівництва)</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 Проміжна фінансова звітність емітента, складена за положеннями (стандартами) бухгалтерського обліку</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 Проміжна фінансова звітність еміт</w:t>
            </w:r>
            <w:r>
              <w:rPr>
                <w:rFonts w:ascii="Times New Roman CYR" w:hAnsi="Times New Roman CYR" w:cs="Times New Roman CYR"/>
                <w:sz w:val="24"/>
                <w:szCs w:val="24"/>
              </w:rPr>
              <w:t>ента, складена за міжнародними стандартами фінансової звітності</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 Висновок про огляд проміжної фінансової звітності, підготовлений аудитором (аудиторською фірмою)</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24. Проміжний звіт керівництва</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25. Твердження щодо проміжної інформації</w:t>
            </w:r>
          </w:p>
        </w:tc>
        <w:tc>
          <w:tcPr>
            <w:tcW w:w="1000" w:type="dxa"/>
            <w:tcBorders>
              <w:top w:val="nil"/>
              <w:left w:val="nil"/>
              <w:bottom w:val="nil"/>
              <w:right w:val="nil"/>
            </w:tcBorders>
            <w:vAlign w:val="bottom"/>
          </w:tcPr>
          <w:p w:rsidR="00000000" w:rsidRDefault="00E13A3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10000" w:type="dxa"/>
            <w:gridSpan w:val="2"/>
            <w:tcBorders>
              <w:top w:val="nil"/>
              <w:left w:val="nil"/>
              <w:bottom w:val="nil"/>
              <w:right w:val="nil"/>
            </w:tcBorders>
            <w:vAlign w:val="bottom"/>
          </w:tcPr>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26. Примітки:</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tc>
      </w:tr>
    </w:tbl>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ІІІ. Основні відомості про емітента</w:t>
      </w:r>
    </w:p>
    <w:p w:rsidR="00000000" w:rsidRDefault="00E13A3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 Повне найменування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Приватне акцiонерне товариство "Страхова компанiя "САТIС"</w:t>
      </w:r>
    </w:p>
    <w:p w:rsidR="00000000" w:rsidRDefault="00E13A3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2. Дата проведення державної реєстрації</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10.03.1995</w:t>
      </w:r>
    </w:p>
    <w:p w:rsidR="00000000" w:rsidRDefault="00E13A3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3. Територія (область)</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м.Київ</w:t>
      </w:r>
    </w:p>
    <w:p w:rsidR="00000000" w:rsidRDefault="00E13A3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4. Статутний капітал (грн) </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16524360</w:t>
      </w:r>
    </w:p>
    <w:p w:rsidR="00000000" w:rsidRDefault="00E13A3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5. Відсоток акцій у статутному капіталі, що належать державі</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000000" w:rsidRDefault="00E13A3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Відсоток акцій (часток, паїв) статутного капіталу, що передано до статутного капіталу державного (національного) акціонерного товариства та/або холдинг</w:t>
      </w:r>
      <w:r>
        <w:rPr>
          <w:rFonts w:ascii="Times New Roman CYR" w:hAnsi="Times New Roman CYR" w:cs="Times New Roman CYR"/>
          <w:b/>
          <w:bCs/>
          <w:sz w:val="24"/>
          <w:szCs w:val="24"/>
        </w:rPr>
        <w:t>ової компанії</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000000" w:rsidRDefault="00E13A3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7. Середня кількість працівників (осіб)</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15</w:t>
      </w:r>
    </w:p>
    <w:p w:rsidR="00000000" w:rsidRDefault="00E13A3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8. Основні види діяльності із зазначенням найменування виду діяльності та коду за КВЕД</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65.12 - Iншi види страхування, крiм страхування життя</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65.20 - Перестрахування</w:t>
      </w:r>
    </w:p>
    <w:p w:rsidR="00000000" w:rsidRDefault="00E13A3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9. Органи управління підприє</w:t>
      </w:r>
      <w:r>
        <w:rPr>
          <w:rFonts w:ascii="Times New Roman CYR" w:hAnsi="Times New Roman CYR" w:cs="Times New Roman CYR"/>
          <w:b/>
          <w:bCs/>
          <w:sz w:val="24"/>
          <w:szCs w:val="24"/>
        </w:rPr>
        <w:t>мства</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Загальнi збори акцiонерiвНаглядова радаГенеральний директор</w:t>
      </w:r>
    </w:p>
    <w:p w:rsidR="00000000" w:rsidRDefault="00E13A3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10. Засновники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920"/>
        <w:gridCol w:w="4000"/>
        <w:gridCol w:w="2000"/>
      </w:tblGrid>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якщо засновник - фізична особа; найменування, якщо засновник - юридична особа</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Місцезнаходження, якщо засновник - юридична особа</w:t>
            </w:r>
          </w:p>
        </w:tc>
        <w:tc>
          <w:tcPr>
            <w:tcW w:w="2000"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Ідентифікаційний код юридичної особи, якщо засновник - юридична особа</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Iгор Олександрович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1929704015</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Олександр Iгоревич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3063622099</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Iрина Сергiївна</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3038607089</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Коваль Сергiй Леонiдович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1924803299</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ПП "ФIНВЕСТ"</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03187 м. Київ, вул. Теремкiвська, 12 кв. 33</w:t>
            </w:r>
          </w:p>
        </w:tc>
        <w:tc>
          <w:tcPr>
            <w:tcW w:w="2000"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33737873</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 "КАРБОН"</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01133 м. Київ, пров. Лабораторний, 1</w:t>
            </w:r>
          </w:p>
        </w:tc>
        <w:tc>
          <w:tcPr>
            <w:tcW w:w="2000"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21647378</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АКБ "СХIДНО-ЄВРОПЕЙСЬКИЙ БАНК"</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01042 м. Київ, булв. Дружби Народiв, 17/5</w:t>
            </w:r>
          </w:p>
        </w:tc>
        <w:tc>
          <w:tcPr>
            <w:tcW w:w="2000"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19364130</w:t>
            </w:r>
          </w:p>
        </w:tc>
      </w:tr>
    </w:tbl>
    <w:p w:rsidR="00000000" w:rsidRDefault="00E13A3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Якщо кількість фізичних осіб - засновників емітента перевищує двадцять, зазначається загальна кількість фізичних осіб:</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14</w:t>
      </w:r>
    </w:p>
    <w:p w:rsidR="00000000" w:rsidRDefault="00E13A3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11. Банки, що обслуговують емітента</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 найменування банку (філії, відділення банку), який обслуговує емітента за поточним рахунком у </w:t>
      </w:r>
      <w:r>
        <w:rPr>
          <w:rFonts w:ascii="Times New Roman CYR" w:hAnsi="Times New Roman CYR" w:cs="Times New Roman CYR"/>
          <w:sz w:val="24"/>
          <w:szCs w:val="24"/>
        </w:rPr>
        <w:t>національній валюті</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АТ КБ "ПРИВАТБАНК", МФО 305299</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IBAN</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UA59305299000002505046200629</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поточний рахунок</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UA59305299000002505046200629</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найменування банку (філії, відділення банку), який обслуговує емітента за поточним рахунком в іноземній валюті</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А</w:t>
      </w:r>
      <w:r>
        <w:rPr>
          <w:rFonts w:ascii="Times New Roman CYR" w:hAnsi="Times New Roman CYR" w:cs="Times New Roman CYR"/>
          <w:sz w:val="24"/>
          <w:szCs w:val="24"/>
        </w:rPr>
        <w:t>Т КБ "ПРИВАТБАНК", МФО 305299</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IBAN</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UA413052990000026505046200856</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поточний рахунок</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UA413052990000026505046200856</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IV. Інформація про одержані ліцензії на окремі види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закінчення дії ліцензії (за наявності)</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наземного транспорту (крiм залiзничного)</w:t>
            </w:r>
          </w:p>
        </w:tc>
        <w:tc>
          <w:tcPr>
            <w:tcW w:w="15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569058</w:t>
            </w:r>
          </w:p>
        </w:tc>
        <w:tc>
          <w:tcPr>
            <w:tcW w:w="1065"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вантажiв та багажу (вантажобагажу)</w:t>
            </w:r>
          </w:p>
        </w:tc>
        <w:tc>
          <w:tcPr>
            <w:tcW w:w="15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569052</w:t>
            </w:r>
          </w:p>
        </w:tc>
        <w:tc>
          <w:tcPr>
            <w:tcW w:w="1065"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вiдповiдальностi перед третiми особами  крiм цивiльної вiдповiдальностi власникiв наземного транспорту, вiдповiдальностi власникiв повiтряного транспорту, вiдповiдальностi власникiв водного транспорту (включаючи вiдповiдальнiсть перевiзника)</w:t>
            </w:r>
          </w:p>
        </w:tc>
        <w:tc>
          <w:tcPr>
            <w:tcW w:w="15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w:t>
            </w:r>
            <w:r>
              <w:rPr>
                <w:rFonts w:ascii="Times New Roman CYR" w:hAnsi="Times New Roman CYR" w:cs="Times New Roman CYR"/>
              </w:rPr>
              <w:t>рiя АГ № 569060</w:t>
            </w:r>
          </w:p>
        </w:tc>
        <w:tc>
          <w:tcPr>
            <w:tcW w:w="1065"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 вогневих ризикiв та ризикiв стихiйних явищ</w:t>
            </w:r>
          </w:p>
        </w:tc>
        <w:tc>
          <w:tcPr>
            <w:tcW w:w="15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569053</w:t>
            </w:r>
          </w:p>
        </w:tc>
        <w:tc>
          <w:tcPr>
            <w:tcW w:w="1065"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майна  крiм залiзничного, наземного, повiтряного, водного транспорту (морського внутрiшнього та iнших видiв водного транспорту), вантажiв та багажу (вантажобагажу)</w:t>
            </w:r>
          </w:p>
        </w:tc>
        <w:tc>
          <w:tcPr>
            <w:tcW w:w="15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569055</w:t>
            </w:r>
          </w:p>
        </w:tc>
        <w:tc>
          <w:tcPr>
            <w:tcW w:w="1065"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w:t>
            </w:r>
            <w:r>
              <w:rPr>
                <w:rFonts w:ascii="Times New Roman CYR" w:hAnsi="Times New Roman CYR" w:cs="Times New Roman CYR"/>
              </w:rPr>
              <w:t>слуг України</w:t>
            </w:r>
          </w:p>
        </w:tc>
        <w:tc>
          <w:tcPr>
            <w:tcW w:w="12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 нещасних випадкiв</w:t>
            </w:r>
          </w:p>
        </w:tc>
        <w:tc>
          <w:tcPr>
            <w:tcW w:w="15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569059</w:t>
            </w:r>
          </w:p>
        </w:tc>
        <w:tc>
          <w:tcPr>
            <w:tcW w:w="1065"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фiнансових ризикiв</w:t>
            </w:r>
          </w:p>
        </w:tc>
        <w:tc>
          <w:tcPr>
            <w:tcW w:w="15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569061</w:t>
            </w:r>
          </w:p>
        </w:tc>
        <w:tc>
          <w:tcPr>
            <w:tcW w:w="1065"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здоров'я на випадок хвороби</w:t>
            </w:r>
          </w:p>
        </w:tc>
        <w:tc>
          <w:tcPr>
            <w:tcW w:w="15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569054</w:t>
            </w:r>
          </w:p>
        </w:tc>
        <w:tc>
          <w:tcPr>
            <w:tcW w:w="1065"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медичних витрат</w:t>
            </w:r>
          </w:p>
        </w:tc>
        <w:tc>
          <w:tcPr>
            <w:tcW w:w="15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569057</w:t>
            </w:r>
          </w:p>
        </w:tc>
        <w:tc>
          <w:tcPr>
            <w:tcW w:w="1065"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Медичне страхування (безперервне страхування здоров'я)</w:t>
            </w:r>
          </w:p>
        </w:tc>
        <w:tc>
          <w:tcPr>
            <w:tcW w:w="15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569056</w:t>
            </w:r>
          </w:p>
        </w:tc>
        <w:tc>
          <w:tcPr>
            <w:tcW w:w="1065"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bl>
    <w:p w:rsidR="00000000" w:rsidRDefault="00E13A3F">
      <w:pPr>
        <w:widowControl w:val="0"/>
        <w:autoSpaceDE w:val="0"/>
        <w:autoSpaceDN w:val="0"/>
        <w:adjustRightInd w:val="0"/>
        <w:spacing w:after="0" w:line="240" w:lineRule="auto"/>
        <w:rPr>
          <w:rFonts w:ascii="Times New Roman CYR" w:hAnsi="Times New Roman CYR" w:cs="Times New Roman CYR"/>
        </w:rPr>
      </w:pPr>
    </w:p>
    <w:p w:rsidR="00000000" w:rsidRDefault="00E13A3F">
      <w:pPr>
        <w:widowControl w:val="0"/>
        <w:autoSpaceDE w:val="0"/>
        <w:autoSpaceDN w:val="0"/>
        <w:adjustRightInd w:val="0"/>
        <w:spacing w:after="0" w:line="240" w:lineRule="auto"/>
        <w:rPr>
          <w:rFonts w:ascii="Times New Roman CYR" w:hAnsi="Times New Roman CYR" w:cs="Times New Roman CYR"/>
        </w:r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 Інформація про посадових осіб емітента</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Генеральний директор</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Прізвище, ім'я, по батькові</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Яхниця Iгор Олександрович</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1952</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Освіта</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вища економiчна освiта, диплом вiд 30.06.1989 року, серiя УВ №896052</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23</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Iнститут фiзiологiї iменi О.О. Богомольця,  Код ЄДРПОУ 05417093,Старши</w:t>
      </w:r>
      <w:r>
        <w:rPr>
          <w:rFonts w:ascii="Times New Roman CYR" w:hAnsi="Times New Roman CYR" w:cs="Times New Roman CYR"/>
          <w:sz w:val="24"/>
          <w:szCs w:val="24"/>
        </w:rPr>
        <w:t>й науковий спiвробiтникIнститут фiзiологiї iменi О.О. Богомольця,  Код ЄДРПОУ 05417093,Старший науковий спiвробiтникIнститут фiзiологiї iменi О.О. Богомольця,  Код ЄДРПОУ, 05417093, Старший науковий спiвробiтник</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Повноваження та обов`язки посадо</w:t>
      </w:r>
      <w:r>
        <w:rPr>
          <w:rFonts w:ascii="Times New Roman CYR" w:hAnsi="Times New Roman CYR" w:cs="Times New Roman CYR"/>
          <w:sz w:val="24"/>
          <w:szCs w:val="24"/>
        </w:rPr>
        <w:t>вої особи визначенi Статутом Товариства. Посадова особа отримує заробiтну плату, встановлену згiдно з штатним розкладом. Додаткова винагорода не передбачена. Змiн у персональному складi посадових осiб за звiтний перiод не було. Непогашеної судимостi за кор</w:t>
      </w:r>
      <w:r>
        <w:rPr>
          <w:rFonts w:ascii="Times New Roman CYR" w:hAnsi="Times New Roman CYR" w:cs="Times New Roman CYR"/>
          <w:sz w:val="24"/>
          <w:szCs w:val="24"/>
        </w:rPr>
        <w:t>исливi та посадовi злочини посадова особа не має. Посадова особа не працює та не займає посад на будь-яких iнших пiдприємствах</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VII. Відомості про цінні папери емітента</w:t>
      </w: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000000" w:rsidRDefault="00E13A3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20"/>
        <w:gridCol w:w="1330"/>
        <w:gridCol w:w="2450"/>
        <w:gridCol w:w="1640"/>
        <w:gridCol w:w="1410"/>
        <w:gridCol w:w="1600"/>
        <w:gridCol w:w="1450"/>
        <w:gridCol w:w="1200"/>
        <w:gridCol w:w="1400"/>
        <w:gridCol w:w="1400"/>
      </w:tblGrid>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реєстрації випуску</w:t>
            </w:r>
          </w:p>
        </w:tc>
        <w:tc>
          <w:tcPr>
            <w:tcW w:w="133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Номер </w:t>
            </w:r>
            <w:r>
              <w:rPr>
                <w:rFonts w:ascii="Times New Roman CYR" w:hAnsi="Times New Roman CYR" w:cs="Times New Roman CYR"/>
                <w:b/>
                <w:bCs/>
              </w:rPr>
              <w:t>свідоцтва про реєстрацію випуску</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органу, що зареєстрував випуск</w:t>
            </w:r>
          </w:p>
        </w:tc>
        <w:tc>
          <w:tcPr>
            <w:tcW w:w="164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Міжнародний ідентифікаційний номер </w:t>
            </w:r>
          </w:p>
        </w:tc>
        <w:tc>
          <w:tcPr>
            <w:tcW w:w="141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Тип цінного папера</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Загальна номінальна вартість (грн)</w:t>
            </w:r>
          </w:p>
        </w:tc>
        <w:tc>
          <w:tcPr>
            <w:tcW w:w="1400"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Частка у</w:t>
            </w:r>
            <w:r>
              <w:rPr>
                <w:rFonts w:ascii="Times New Roman CYR" w:hAnsi="Times New Roman CYR" w:cs="Times New Roman CYR"/>
                <w:b/>
                <w:bCs/>
              </w:rPr>
              <w:t xml:space="preserve"> статутному капіталі (у відсотках)</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3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41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400"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25.06.1998</w:t>
            </w:r>
          </w:p>
        </w:tc>
        <w:tc>
          <w:tcPr>
            <w:tcW w:w="133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342/1/98</w:t>
            </w:r>
          </w:p>
        </w:tc>
        <w:tc>
          <w:tcPr>
            <w:tcW w:w="24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24000</w:t>
            </w:r>
          </w:p>
        </w:tc>
        <w:tc>
          <w:tcPr>
            <w:tcW w:w="14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240000</w:t>
            </w:r>
          </w:p>
        </w:tc>
        <w:tc>
          <w:tcPr>
            <w:tcW w:w="14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28.04.1999</w:t>
            </w:r>
          </w:p>
        </w:tc>
        <w:tc>
          <w:tcPr>
            <w:tcW w:w="133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342/1/98</w:t>
            </w:r>
          </w:p>
        </w:tc>
        <w:tc>
          <w:tcPr>
            <w:tcW w:w="24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47500</w:t>
            </w:r>
          </w:p>
        </w:tc>
        <w:tc>
          <w:tcPr>
            <w:tcW w:w="14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475000</w:t>
            </w:r>
          </w:p>
        </w:tc>
        <w:tc>
          <w:tcPr>
            <w:tcW w:w="14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23.12.1999</w:t>
            </w:r>
          </w:p>
        </w:tc>
        <w:tc>
          <w:tcPr>
            <w:tcW w:w="133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655/1/99</w:t>
            </w:r>
          </w:p>
        </w:tc>
        <w:tc>
          <w:tcPr>
            <w:tcW w:w="24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201236</w:t>
            </w:r>
          </w:p>
        </w:tc>
        <w:tc>
          <w:tcPr>
            <w:tcW w:w="14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2012360</w:t>
            </w:r>
          </w:p>
        </w:tc>
        <w:tc>
          <w:tcPr>
            <w:tcW w:w="14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22.10.2003</w:t>
            </w:r>
          </w:p>
        </w:tc>
        <w:tc>
          <w:tcPr>
            <w:tcW w:w="133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511/1/99</w:t>
            </w:r>
          </w:p>
        </w:tc>
        <w:tc>
          <w:tcPr>
            <w:tcW w:w="24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23.06.2010</w:t>
            </w:r>
          </w:p>
        </w:tc>
        <w:tc>
          <w:tcPr>
            <w:tcW w:w="133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03.02.2011</w:t>
            </w:r>
          </w:p>
        </w:tc>
        <w:tc>
          <w:tcPr>
            <w:tcW w:w="133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w:t>
            </w:r>
            <w:r>
              <w:rPr>
                <w:rFonts w:ascii="Times New Roman CYR" w:hAnsi="Times New Roman CYR" w:cs="Times New Roman CYR"/>
              </w:rPr>
              <w:t>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13.12.2011</w:t>
            </w:r>
          </w:p>
        </w:tc>
        <w:tc>
          <w:tcPr>
            <w:tcW w:w="133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1652436</w:t>
            </w:r>
          </w:p>
        </w:tc>
        <w:tc>
          <w:tcPr>
            <w:tcW w:w="14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16524360</w:t>
            </w:r>
          </w:p>
        </w:tc>
        <w:tc>
          <w:tcPr>
            <w:tcW w:w="14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bl>
    <w:p w:rsidR="00000000" w:rsidRDefault="00E13A3F">
      <w:pPr>
        <w:widowControl w:val="0"/>
        <w:autoSpaceDE w:val="0"/>
        <w:autoSpaceDN w:val="0"/>
        <w:adjustRightInd w:val="0"/>
        <w:spacing w:after="0" w:line="240" w:lineRule="auto"/>
        <w:rPr>
          <w:rFonts w:ascii="Times New Roman CYR" w:hAnsi="Times New Roman CYR" w:cs="Times New Roman CYR"/>
        </w:rPr>
      </w:pPr>
    </w:p>
    <w:p w:rsidR="00000000" w:rsidRDefault="00E13A3F">
      <w:pPr>
        <w:widowControl w:val="0"/>
        <w:autoSpaceDE w:val="0"/>
        <w:autoSpaceDN w:val="0"/>
        <w:adjustRightInd w:val="0"/>
        <w:spacing w:after="0" w:line="240" w:lineRule="auto"/>
        <w:rPr>
          <w:rFonts w:ascii="Times New Roman CYR" w:hAnsi="Times New Roman CYR" w:cs="Times New Roman CYR"/>
        </w:rPr>
        <w:sectPr w:rsidR="00000000">
          <w:pgSz w:w="16838" w:h="11906" w:orient="landscape"/>
          <w:pgMar w:top="850" w:right="850" w:bottom="850" w:left="1400" w:header="720" w:footer="720" w:gutter="0"/>
          <w:cols w:space="720"/>
          <w:noEndnote/>
        </w:sect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VIII. Відомості щодо участі емітента у юридичних особах</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Найменування</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"БАЗИС ЦЕНТР"</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Товариство з обмеженою відповідальністю</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40619070</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32407, Хмельницька обл., Д</w:t>
      </w:r>
      <w:r>
        <w:rPr>
          <w:rFonts w:ascii="Times New Roman CYR" w:hAnsi="Times New Roman CYR" w:cs="Times New Roman CYR"/>
          <w:sz w:val="24"/>
          <w:szCs w:val="24"/>
        </w:rPr>
        <w:t>унаєвецький район, село Балинiвка, вул. Кошового, буд. 34</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Опис</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Частка ПрАТ "СК "Сатiс" у статутному капiталi 1000,00 тис.грн., що становить 80% (фактично сплачено 745,7 тис.грн.).</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000000">
        <w:tblPrEx>
          <w:tblCellMar>
            <w:top w:w="0" w:type="dxa"/>
            <w:bottom w:w="0" w:type="dxa"/>
          </w:tblCellMar>
        </w:tblPrEx>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000000">
        <w:tblPrEx>
          <w:tblCellMar>
            <w:top w:w="0" w:type="dxa"/>
            <w:bottom w:w="0" w:type="dxa"/>
          </w:tblCellMar>
        </w:tblPrEx>
        <w:trPr>
          <w:gridBefore w:val="2"/>
          <w:wBefore w:w="6626" w:type="dxa"/>
          <w:trHeight w:val="300"/>
        </w:trPr>
        <w:tc>
          <w:tcPr>
            <w:tcW w:w="1654" w:type="dxa"/>
            <w:tcBorders>
              <w:top w:val="nil"/>
              <w:left w:val="nil"/>
              <w:bottom w:val="nil"/>
              <w:right w:val="single" w:sz="6" w:space="0" w:color="auto"/>
            </w:tcBorders>
            <w:vAlign w:val="center"/>
          </w:tcPr>
          <w:p w:rsidR="00000000" w:rsidRDefault="00E13A3F">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01.04.2023</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654" w:type="dxa"/>
            <w:tcBorders>
              <w:top w:val="nil"/>
              <w:left w:val="nil"/>
              <w:bottom w:val="nil"/>
              <w:right w:val="single" w:sz="6" w:space="0" w:color="auto"/>
            </w:tcBorders>
            <w:vAlign w:val="center"/>
          </w:tcPr>
          <w:p w:rsidR="00000000" w:rsidRDefault="00E13A3F">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Територія</w:t>
            </w:r>
          </w:p>
        </w:tc>
        <w:tc>
          <w:tcPr>
            <w:tcW w:w="4466" w:type="dxa"/>
            <w:tcBorders>
              <w:top w:val="nil"/>
              <w:left w:val="nil"/>
              <w:bottom w:val="nil"/>
              <w:right w:val="nil"/>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м.Київ</w:t>
            </w:r>
          </w:p>
        </w:tc>
        <w:tc>
          <w:tcPr>
            <w:tcW w:w="1654" w:type="dxa"/>
            <w:tcBorders>
              <w:top w:val="nil"/>
              <w:left w:val="nil"/>
              <w:bottom w:val="nil"/>
              <w:right w:val="single" w:sz="6" w:space="0" w:color="auto"/>
            </w:tcBorders>
            <w:vAlign w:val="center"/>
          </w:tcPr>
          <w:p w:rsidR="00000000" w:rsidRDefault="00E13A3F">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UA80000000000126643</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 господарювання</w:t>
            </w:r>
          </w:p>
        </w:tc>
        <w:tc>
          <w:tcPr>
            <w:tcW w:w="4466" w:type="dxa"/>
            <w:tcBorders>
              <w:top w:val="nil"/>
              <w:left w:val="nil"/>
              <w:bottom w:val="nil"/>
              <w:right w:val="nil"/>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Акціонерне товариство</w:t>
            </w:r>
          </w:p>
        </w:tc>
        <w:tc>
          <w:tcPr>
            <w:tcW w:w="1654" w:type="dxa"/>
            <w:tcBorders>
              <w:top w:val="nil"/>
              <w:left w:val="nil"/>
              <w:bottom w:val="nil"/>
              <w:right w:val="single" w:sz="6" w:space="0" w:color="auto"/>
            </w:tcBorders>
            <w:vAlign w:val="center"/>
          </w:tcPr>
          <w:p w:rsidR="00000000" w:rsidRDefault="00E13A3F">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4466" w:type="dxa"/>
            <w:tcBorders>
              <w:top w:val="nil"/>
              <w:left w:val="nil"/>
              <w:bottom w:val="nil"/>
              <w:right w:val="nil"/>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види страхування, крім страхування життя</w:t>
            </w:r>
          </w:p>
        </w:tc>
        <w:tc>
          <w:tcPr>
            <w:tcW w:w="1654" w:type="dxa"/>
            <w:tcBorders>
              <w:top w:val="nil"/>
              <w:left w:val="nil"/>
              <w:bottom w:val="nil"/>
              <w:right w:val="single" w:sz="6" w:space="0" w:color="auto"/>
            </w:tcBorders>
            <w:vAlign w:val="center"/>
          </w:tcPr>
          <w:p w:rsidR="00000000" w:rsidRDefault="00E13A3F">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w:t>
            </w:r>
          </w:p>
        </w:tc>
      </w:tr>
    </w:tbl>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w:t>
      </w:r>
      <w:r>
        <w:rPr>
          <w:rFonts w:ascii="Times New Roman CYR" w:hAnsi="Times New Roman CYR" w:cs="Times New Roman CYR"/>
        </w:rPr>
        <w:t>15</w:t>
      </w:r>
    </w:p>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03028 мiсто Київ, Саперно-Слобiдська, 22, 0445021038</w:t>
      </w:r>
    </w:p>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без десяткового знака</w:t>
      </w:r>
    </w:p>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Складено </w:t>
      </w:r>
      <w:r>
        <w:rPr>
          <w:rFonts w:ascii="Times New Roman CYR" w:hAnsi="Times New Roman CYR" w:cs="Times New Roman CYR"/>
        </w:rPr>
        <w:t>(зробити позначку "v" у відповідній клітинці):</w:t>
      </w:r>
    </w:p>
    <w:tbl>
      <w:tblPr>
        <w:tblW w:w="0" w:type="auto"/>
        <w:tblInd w:w="108" w:type="dxa"/>
        <w:tblLayout w:type="fixed"/>
        <w:tblLook w:val="0000" w:firstRow="0" w:lastRow="0" w:firstColumn="0" w:lastColumn="0" w:noHBand="0" w:noVBand="0"/>
      </w:tblPr>
      <w:tblGrid>
        <w:gridCol w:w="8280"/>
        <w:gridCol w:w="1720"/>
      </w:tblGrid>
      <w:tr w:rsidR="00000000">
        <w:tblPrEx>
          <w:tblCellMar>
            <w:top w:w="0" w:type="dxa"/>
            <w:bottom w:w="0" w:type="dxa"/>
          </w:tblCellMar>
        </w:tblPrEx>
        <w:trPr>
          <w:trHeight w:val="298"/>
        </w:trPr>
        <w:tc>
          <w:tcPr>
            <w:tcW w:w="8280" w:type="dxa"/>
            <w:vMerge w:val="restart"/>
            <w:tcBorders>
              <w:top w:val="nil"/>
              <w:left w:val="nil"/>
              <w:bottom w:val="nil"/>
              <w:right w:val="nil"/>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98"/>
        </w:trPr>
        <w:tc>
          <w:tcPr>
            <w:tcW w:w="8280" w:type="dxa"/>
            <w:vMerge w:val="restart"/>
            <w:tcBorders>
              <w:top w:val="nil"/>
              <w:left w:val="nil"/>
              <w:bottom w:val="nil"/>
              <w:right w:val="nil"/>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v</w:t>
            </w:r>
          </w:p>
        </w:tc>
      </w:tr>
    </w:tbl>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Баланс</w:t>
      </w: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фінансовий стан)</w:t>
      </w:r>
    </w:p>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sz w:val="24"/>
          <w:szCs w:val="24"/>
        </w:rPr>
        <w:t>на 31.03.2023 p.</w:t>
      </w:r>
    </w:p>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000000">
        <w:tblPrEx>
          <w:tblCellMar>
            <w:top w:w="0" w:type="dxa"/>
            <w:bottom w:w="0" w:type="dxa"/>
          </w:tblCellMar>
        </w:tblPrEx>
        <w:trPr>
          <w:gridBefore w:val="3"/>
          <w:wBefore w:w="7150" w:type="dxa"/>
          <w:trHeight w:val="280"/>
        </w:trPr>
        <w:tc>
          <w:tcPr>
            <w:tcW w:w="1501" w:type="dxa"/>
            <w:gridSpan w:val="2"/>
            <w:tcBorders>
              <w:top w:val="nil"/>
              <w:left w:val="nil"/>
              <w:bottom w:val="nil"/>
              <w:right w:val="single" w:sz="6" w:space="0" w:color="auto"/>
            </w:tcBorders>
            <w:vAlign w:val="center"/>
          </w:tcPr>
          <w:p w:rsidR="00000000" w:rsidRDefault="00E13A3F">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1801001</w:t>
            </w:r>
          </w:p>
        </w:tc>
      </w:tr>
      <w:tr w:rsidR="00000000">
        <w:tblPrEx>
          <w:tblCellMar>
            <w:top w:w="0" w:type="dxa"/>
            <w:bottom w:w="0" w:type="dxa"/>
          </w:tblCellMar>
        </w:tblPrEx>
        <w:trPr>
          <w:trHeight w:val="3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129</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136</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4 382</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4 282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15 066</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15 066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( 10 684 )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( 10 784 )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31 560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31 560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31 560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31 560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746</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746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аквізиційні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36 817</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36 717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134</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5 634</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5 078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6 943</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7 969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6 934</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7 960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Частка 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13 540</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13 969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50 357</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50 686</w:t>
            </w:r>
          </w:p>
        </w:tc>
      </w:tr>
    </w:tbl>
    <w:p w:rsidR="00000000" w:rsidRDefault="00E13A3F">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1412</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-729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47 605</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46 926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244</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244</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1526</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1 300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1 837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1532</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1533</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1 300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1 837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1534</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1540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 на виплату джек-поту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1545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1 544</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2 066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758</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822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431</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793</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1670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1 208</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1 694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50 357</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50 686</w:t>
            </w:r>
          </w:p>
        </w:tc>
      </w:tr>
    </w:tbl>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rPr>
        <w:sectPr w:rsidR="00000000">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000000">
        <w:tblPrEx>
          <w:tblCellMar>
            <w:top w:w="0" w:type="dxa"/>
            <w:bottom w:w="0" w:type="dxa"/>
          </w:tblCellMar>
        </w:tblPrEx>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000000">
        <w:tblPrEx>
          <w:tblCellMar>
            <w:top w:w="0" w:type="dxa"/>
            <w:bottom w:w="0" w:type="dxa"/>
          </w:tblCellMar>
        </w:tblPrEx>
        <w:trPr>
          <w:gridBefore w:val="2"/>
          <w:wBefore w:w="6626" w:type="dxa"/>
          <w:trHeight w:val="300"/>
        </w:trPr>
        <w:tc>
          <w:tcPr>
            <w:tcW w:w="1654" w:type="dxa"/>
            <w:tcBorders>
              <w:top w:val="nil"/>
              <w:left w:val="nil"/>
              <w:bottom w:val="nil"/>
              <w:right w:val="single" w:sz="6" w:space="0" w:color="auto"/>
            </w:tcBorders>
            <w:vAlign w:val="center"/>
          </w:tcPr>
          <w:p w:rsidR="00000000" w:rsidRDefault="00E13A3F">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18.04.2023</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654" w:type="dxa"/>
            <w:tcBorders>
              <w:top w:val="nil"/>
              <w:left w:val="nil"/>
              <w:bottom w:val="nil"/>
              <w:right w:val="single" w:sz="6" w:space="0" w:color="auto"/>
            </w:tcBorders>
            <w:vAlign w:val="center"/>
          </w:tcPr>
          <w:p w:rsidR="00000000" w:rsidRDefault="00E13A3F">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bl>
    <w:p w:rsidR="00000000" w:rsidRDefault="00E13A3F">
      <w:pPr>
        <w:widowControl w:val="0"/>
        <w:autoSpaceDE w:val="0"/>
        <w:autoSpaceDN w:val="0"/>
        <w:adjustRightInd w:val="0"/>
        <w:spacing w:after="0" w:line="240" w:lineRule="auto"/>
        <w:rPr>
          <w:rFonts w:ascii="Times New Roman CYR" w:hAnsi="Times New Roman CYR" w:cs="Times New Roman CYR"/>
        </w:r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фінансові результати</w:t>
      </w: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сукупний дохід)</w:t>
      </w:r>
    </w:p>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1 квартал 2023 року</w:t>
      </w:r>
    </w:p>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w:t>
      </w:r>
    </w:p>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000000">
        <w:tblPrEx>
          <w:tblCellMar>
            <w:top w:w="0" w:type="dxa"/>
            <w:bottom w:w="0" w:type="dxa"/>
          </w:tblCellMar>
        </w:tblPrEx>
        <w:trPr>
          <w:gridBefore w:val="3"/>
          <w:wBefore w:w="7150" w:type="dxa"/>
          <w:trHeight w:val="280"/>
        </w:trPr>
        <w:tc>
          <w:tcPr>
            <w:tcW w:w="1501" w:type="dxa"/>
            <w:gridSpan w:val="2"/>
            <w:tcBorders>
              <w:top w:val="nil"/>
              <w:left w:val="nil"/>
              <w:bottom w:val="nil"/>
              <w:right w:val="single" w:sz="6" w:space="0" w:color="auto"/>
            </w:tcBorders>
            <w:vAlign w:val="center"/>
          </w:tcPr>
          <w:p w:rsidR="00000000" w:rsidRDefault="00E13A3F">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1801003</w:t>
            </w:r>
          </w:p>
        </w:tc>
      </w:tr>
      <w:tr w:rsidR="00000000">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5 024</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1 525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6 538</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1 299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( 1 035 )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( 48 )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537</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( 1 832 )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( 19 )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( 8 )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Валовий:</w:t>
            </w:r>
          </w:p>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3 173</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1 517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( 1 893 )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( 943 )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( 26 )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( 52 )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( 2 047 )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( 88 )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Фінансовий результат від операційної діяльності:</w:t>
            </w:r>
          </w:p>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( 792 )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Фінансовий результат до оподаткування:</w:t>
            </w:r>
          </w:p>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( 670 )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фінансовий результат:</w:t>
            </w:r>
          </w:p>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( 679 )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bl>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2445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-679</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492</w:t>
            </w:r>
          </w:p>
        </w:tc>
      </w:tr>
    </w:tbl>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72</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5 261</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5 817</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1 091</w:t>
            </w:r>
          </w:p>
        </w:tc>
      </w:tr>
    </w:tbl>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2650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w:t>
            </w:r>
          </w:p>
        </w:tc>
        <w:tc>
          <w:tcPr>
            <w:tcW w:w="1645" w:type="dxa"/>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w:t>
            </w:r>
          </w:p>
        </w:tc>
      </w:tr>
    </w:tbl>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Пояснювальна записка до звiтностi страховика ПрАТ "Страхова компанiя "САТIС"</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За 1 квартал 2023 рiк</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 Пояснення щодо окремих показникiв промiжної та рiчної звiтностi, зокрема:</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 пояснення щодо порядку формування страхових резервiв та частки перестраховикiв у страхових резервах, застосованi страховиком методи формування страхових резервiв, у тому числi порядок визначення часток надходжень сум страхових платежiв (страхових внескi</w:t>
      </w:r>
      <w:r>
        <w:rPr>
          <w:rFonts w:ascii="Times New Roman CYR" w:hAnsi="Times New Roman CYR" w:cs="Times New Roman CYR"/>
        </w:rPr>
        <w:t>в, страхових премiй) та сум часток страхових платежiв, що сплачуються перестраховикам, з вiдповiдних видiв страхування;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  У звiтному перiодi Страхова компанiя формувала наступнi страховi резерви: резерви незароблених премiй та резерви заявлених, але не ви</w:t>
      </w:r>
      <w:r>
        <w:rPr>
          <w:rFonts w:ascii="Times New Roman CYR" w:hAnsi="Times New Roman CYR" w:cs="Times New Roman CYR"/>
        </w:rPr>
        <w:t>плачених збиткiв. При розрахунку страхових резервiв взято 100% вiд надходження страхових платежiв та 100% вiд платежiв, належних перестраховикам по всiх видах страхування. Резерви незароблених премiй та частка перестраховикiв у резервах незароблених премiй</w:t>
      </w:r>
      <w:r>
        <w:rPr>
          <w:rFonts w:ascii="Times New Roman CYR" w:hAnsi="Times New Roman CYR" w:cs="Times New Roman CYR"/>
        </w:rPr>
        <w:t xml:space="preserve"> були розрахованi за методом "1/24". Резерви заявлених, але не виплачених збиткiв сформованi у вiдповiдностi до вимог (заяв) страхувальникiв, з урахуванням попередньої оцiнки збитку. Сума резерву незароблених премiй становить  1 837,0 тис.грн.; частки пере</w:t>
      </w:r>
      <w:r>
        <w:rPr>
          <w:rFonts w:ascii="Times New Roman CYR" w:hAnsi="Times New Roman CYR" w:cs="Times New Roman CYR"/>
        </w:rPr>
        <w:t xml:space="preserve">страховикiв у страхових резервах  598,0 тис.грн.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 пояснення щодо методiв, що застосовуються страховиком при проведеннi перевiрки адекватностi страхових зобов'язань страховика;</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Перевiрка адекватностi страхових зобов'язань вiдбувалася вiдповiдно до вимо</w:t>
      </w:r>
      <w:r>
        <w:rPr>
          <w:rFonts w:ascii="Times New Roman CYR" w:hAnsi="Times New Roman CYR" w:cs="Times New Roman CYR"/>
        </w:rPr>
        <w:t>г тесту адекватностi зобов'язань МСФЗ 4.15-4.19. Додатково використовувалися роз'яснення IASP 6 (роз'яснення по тесту адекватностi зобов'язань, наданi Мiжнародною Актуарною Асоцiацiєю). При тестуваннi проводилось порiвняння балансової вартостi iснуючих зоб</w:t>
      </w:r>
      <w:r>
        <w:rPr>
          <w:rFonts w:ascii="Times New Roman CYR" w:hAnsi="Times New Roman CYR" w:cs="Times New Roman CYR"/>
        </w:rPr>
        <w:t>ов'язань з поточною оцiнкою майбутнiх грошових коштiв за страховими контрактами.</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Повний опис методики та розрахунки оцiнки адекватностi викладено в п.4 Пояснювальної записки Додатку до Звiту про оцiнку адекватностi страхових зобов'язань.</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 пояснення щод</w:t>
      </w:r>
      <w:r>
        <w:rPr>
          <w:rFonts w:ascii="Times New Roman CYR" w:hAnsi="Times New Roman CYR" w:cs="Times New Roman CYR"/>
        </w:rPr>
        <w:t>о перевищення частки страхових платежiв, належних перестраховикам, над загальним обсягом страхових платежiв, отриманих за звiтний перiод, а також щодо перевищення частки страхових виплат (вiдшкодувань), компенсованих перестраховиками, над загальним обсягом</w:t>
      </w:r>
      <w:r>
        <w:rPr>
          <w:rFonts w:ascii="Times New Roman CYR" w:hAnsi="Times New Roman CYR" w:cs="Times New Roman CYR"/>
        </w:rPr>
        <w:t xml:space="preserve"> сплачених страхових виплат (вiдшкодувань);</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  Перевищення частки страхових платежiв, належних перестраховикам, над загальним обсягом страхових платежiв, отриманих за звiтний перiод, а також  перевищення частки страхових виплат (вiдшкодувань), компенсовани</w:t>
      </w:r>
      <w:r>
        <w:rPr>
          <w:rFonts w:ascii="Times New Roman CYR" w:hAnsi="Times New Roman CYR" w:cs="Times New Roman CYR"/>
        </w:rPr>
        <w:t>х перестраховиками, над загальним обсягом сплачених страхових виплат (вiдшкодувань) не має.</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4) пояснення щодо отримання страховиком кредитiв та iнших позик (у разi такого отримання) протягом звiтного перiоду, у тому числi поворотної фiнансової допомоги;</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Товариством кредити та iншi позики  протягом звiтного перiоду, у тому числi поворотної фiнансової допомоги,  не отримувались.</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5) пояснення щодо наданих позик, фiнансових допомог у звiтному перiодi, у тому числi: iнформацiя про юридичних та/або фiзичних ос</w:t>
      </w:r>
      <w:r>
        <w:rPr>
          <w:rFonts w:ascii="Times New Roman CYR" w:hAnsi="Times New Roman CYR" w:cs="Times New Roman CYR"/>
        </w:rPr>
        <w:t>iб, яким надано позики/допомогу, реквiзити вiдповiдних договорiв, строк, на який виданi позики/допомоги, стан погашення таких позик/допомог;</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Фiнансова допомога юридичним та фiзичним особам за звiтний перiод не надавалась.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6) пояснення щодо наявностi обм</w:t>
      </w:r>
      <w:r>
        <w:rPr>
          <w:rFonts w:ascii="Times New Roman CYR" w:hAnsi="Times New Roman CYR" w:cs="Times New Roman CYR"/>
        </w:rPr>
        <w:t>ежень щодо володiння активами у звiтному перiодi, у тому числi: iнформацiя про активи, що перебувають пiд обтяженням, вид такого обтяження, строк обтяження;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Обмежень щодо володiння активами у звiтному  перiодi не має.</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7) розкриття iнформацiї про потенцiйнi зобов'язання страховика.</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Страховиком розкривається iнформацiя про подiї, що не вiдображаються у звiтностi страховика за звiтний перiод, але мiстять додаткову iнформацiю про фiнансовий стан страховика, а саме:</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виникн</w:t>
      </w:r>
      <w:r>
        <w:rPr>
          <w:rFonts w:ascii="Times New Roman CYR" w:hAnsi="Times New Roman CYR" w:cs="Times New Roman CYR"/>
        </w:rPr>
        <w:t xml:space="preserve">ення зобов'язань, що пов'язанi з розглядом судових справ, у яких учасником є страховик, та можуть вплинути на фiнансовий стан страховика.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Судових  справ  на розглядi в судi щодо виконання своїх зобов'язань та якi впливають на фiнансовий стан страховика н</w:t>
      </w:r>
      <w:r>
        <w:rPr>
          <w:rFonts w:ascii="Times New Roman CYR" w:hAnsi="Times New Roman CYR" w:cs="Times New Roman CYR"/>
        </w:rPr>
        <w:t>е має.</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виникнення нових податкових зобов'язань (змiна податкових зобов'язань у зв'язку зi змiною законодавства, змiна облiкової полiтики тощо)</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новi  податковi зобов'язання за звiтнiй перiод вiдсутнi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виникнення зобов'язань з капiтальних вкладень (придб</w:t>
      </w:r>
      <w:r>
        <w:rPr>
          <w:rFonts w:ascii="Times New Roman CYR" w:hAnsi="Times New Roman CYR" w:cs="Times New Roman CYR"/>
        </w:rPr>
        <w:t xml:space="preserve">ання основних засобiв, нематерiальних активiв тощо).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новi зобов'язання з капiтальних вкладень  вiдсутнi;</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виникнення зобов'язань з оренди (договiрнi зобов'язання, пов'язанi iз орендою основних засобiв та нематерiальних активiв тощо);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Товариство має дог</w:t>
      </w:r>
      <w:r>
        <w:rPr>
          <w:rFonts w:ascii="Times New Roman CYR" w:hAnsi="Times New Roman CYR" w:cs="Times New Roman CYR"/>
        </w:rPr>
        <w:t xml:space="preserve">овори оренди: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офiсного примiщення за адресую м. Київ, вул. Саперно-Слобiдська, буд.22;</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договори оренди примiщень;</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автотранспорту;</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обладнання.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Зобов'язання  з оренди (договiрнi зобов'язання, пов'язанi iз орендою основних засобiв та нематерiальних активiв  тощо) виконуються своєчасно.</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виникнення безвiдкличних позабалансових зобов'язань (гарантiї, поручительства за третiх осiб, iншi безвiдклич</w:t>
      </w:r>
      <w:r>
        <w:rPr>
          <w:rFonts w:ascii="Times New Roman CYR" w:hAnsi="Times New Roman CYR" w:cs="Times New Roman CYR"/>
        </w:rPr>
        <w:t xml:space="preserve">нi позабалансовi зобов'язання тощо).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безвiдкличнi  позабалансовi зобов'язання вiдсутнi.</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8) пояснення щодо операцiй з активами, якi мали мiсце у звiтному перiодi та призвели до змiни обсягiв та/або структури активiв страховика на 10 i бiльше вiдсоткiв вi</w:t>
      </w:r>
      <w:r>
        <w:rPr>
          <w:rFonts w:ascii="Times New Roman CYR" w:hAnsi="Times New Roman CYR" w:cs="Times New Roman CYR"/>
        </w:rPr>
        <w:t>д загальної вартостi активiв на останню звiтну дату, у тому числi: вид (суть), мета здiйснення операцiї, обсяги операцiї, реквiзити та предмет вiдповiдного договору (угоди) та контрагента(iв):.</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Операцiї з активами, що привели до змiни обсягiв та структури</w:t>
      </w:r>
      <w:r>
        <w:rPr>
          <w:rFonts w:ascii="Times New Roman CYR" w:hAnsi="Times New Roman CYR" w:cs="Times New Roman CYR"/>
        </w:rPr>
        <w:t xml:space="preserve"> активiв на 10 i бiльше вiдсоткiв вiд загальної вартостi  активiв на останню звiтну дату ВIДСУТНI.</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 9) iнформацiя про придбання/продаж державних цiнних паперiв ,якi мали мiсце у звiтному перiодi, зокрема вид,(суть),мета здiйснення операцiй, обсяги опера</w:t>
      </w:r>
      <w:r>
        <w:rPr>
          <w:rFonts w:ascii="Times New Roman CYR" w:hAnsi="Times New Roman CYR" w:cs="Times New Roman CYR"/>
        </w:rPr>
        <w:t>цiй,  реквiзити та предмет вiдповiдного договору (угоди) та контрагентiв.</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Операцiї вiдсутнi.</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10) коригування звiтностi.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Страховиком розкривається iнформацiя щодо коригувань у звiтному перiодi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За звiтний перiод, що закiнчився   коригувалась фiнансова </w:t>
      </w:r>
      <w:r>
        <w:rPr>
          <w:rFonts w:ascii="Times New Roman CYR" w:hAnsi="Times New Roman CYR" w:cs="Times New Roman CYR"/>
        </w:rPr>
        <w:t xml:space="preserve">звiтнiсть   не вiдбувалось.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11) наявнiсть судових позовiв щодо вико</w:t>
      </w:r>
      <w:r>
        <w:rPr>
          <w:rFonts w:ascii="Times New Roman CYR" w:hAnsi="Times New Roman CYR" w:cs="Times New Roman CYR"/>
        </w:rPr>
        <w:t>нання страховиком зобов'язань за договорами страхування (перестрахування). Страховиком розкривається iнформацiя про наявнiсть у судi справ, якi стосуються часткового виконання або невиконання таким страховиком зобов'язань за договорами страхування (перестр</w:t>
      </w:r>
      <w:r>
        <w:rPr>
          <w:rFonts w:ascii="Times New Roman CYR" w:hAnsi="Times New Roman CYR" w:cs="Times New Roman CYR"/>
        </w:rPr>
        <w:t>ахування) iз розкриттям сум претензiй до страховика за такими судовими позовами, наявностi сформованих страхових резервiв за такими договорами, iншої iнформацiї, яка може мати суттєвий вплив на фiнансовий стан страховика. Щодо судових позовiв щодо виконанн</w:t>
      </w:r>
      <w:r>
        <w:rPr>
          <w:rFonts w:ascii="Times New Roman CYR" w:hAnsi="Times New Roman CYR" w:cs="Times New Roman CYR"/>
        </w:rPr>
        <w:t>я страховиком зобов'язань за звiтнiй перiод були наступнi провадження, а саме:</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Судових позовiв щодо виконання страховиком зобов'язань за договорами страхування (перестрахування) та проваджень в звiтному перiодi ВIДСУТНЄ.</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12) iнформацiя щодо особи, яка зд</w:t>
      </w:r>
      <w:r>
        <w:rPr>
          <w:rFonts w:ascii="Times New Roman CYR" w:hAnsi="Times New Roman CYR" w:cs="Times New Roman CYR"/>
        </w:rPr>
        <w:t>iйснювала актуарнi розрахунки.</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Для  складання Актуарного звiту за  користувалися послугами  актуарiя.</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Борець Владислав Анатолiйович - Свiдоцтво  про вiдповiднiсть квалiфiкацiйним вимогам до осiб, якi можуть займатися актуарними розрахунками №01-32 вiд 15</w:t>
      </w:r>
      <w:r>
        <w:rPr>
          <w:rFonts w:ascii="Times New Roman CYR" w:hAnsi="Times New Roman CYR" w:cs="Times New Roman CYR"/>
        </w:rPr>
        <w:t>.05.2018р.</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  Iнформацiя щодо дотримання страховиком нормативiв достатностi капiталу та платоспроможностi, лiквiдностi, прибутковостi, якостi активiв та ризиковостi операцiй, а також iнформацiя щодо iнших показникiв i вимог, що обмежують ризики за опер</w:t>
      </w:r>
      <w:r>
        <w:rPr>
          <w:rFonts w:ascii="Times New Roman CYR" w:hAnsi="Times New Roman CYR" w:cs="Times New Roman CYR"/>
        </w:rPr>
        <w:t>ацiями з фiнансовими активами.</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ПрАТ "Страхова компанiя "Сатiс" дотримується установлених обов'язкових критерiїв i нормативiв достатностi капiталу та платоспроможностi, лiквiдностi, прибутковостi ,якостi активiв та ризиковостi операцiй страховика.</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Станом </w:t>
      </w:r>
      <w:r>
        <w:rPr>
          <w:rFonts w:ascii="Times New Roman CYR" w:hAnsi="Times New Roman CYR" w:cs="Times New Roman CYR"/>
        </w:rPr>
        <w:t>на 31 березня 2023 року  розмiр власного капiталу Товариства дорiвнює 47 926,0 тис.  грн., чистi активи  компанiї перевищують розмiр статутного капiталу,  що вiдповiдає нормативним вимогам для ризикових страхових компанiй.</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Вiдповiдно до вимог Закону Украї</w:t>
      </w:r>
      <w:r>
        <w:rPr>
          <w:rFonts w:ascii="Times New Roman CYR" w:hAnsi="Times New Roman CYR" w:cs="Times New Roman CYR"/>
        </w:rPr>
        <w:t>ни "Про страхування" (ст.30), фактичний запас       платоспроможностi (ФЗП) страховика повинен перевищувати розрахунковий рiвень нормативного запасу (НЗП) на будь-яку дату</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                                                                                   </w:t>
      </w:r>
      <w:r>
        <w:rPr>
          <w:rFonts w:ascii="Times New Roman CYR" w:hAnsi="Times New Roman CYR" w:cs="Times New Roman CYR"/>
        </w:rPr>
        <w:t xml:space="preserve">                                                   Таблиця 3</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Фактичний запас платоспроможностi (нетто-активи)</w:t>
      </w:r>
      <w:r>
        <w:rPr>
          <w:rFonts w:ascii="Times New Roman CYR" w:hAnsi="Times New Roman CYR" w:cs="Times New Roman CYR"/>
        </w:rPr>
        <w:tab/>
        <w:t>46 797,00 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Нормативний  запас  платоспроможностi</w:t>
      </w:r>
      <w:r>
        <w:rPr>
          <w:rFonts w:ascii="Times New Roman CYR" w:hAnsi="Times New Roman CYR" w:cs="Times New Roman CYR"/>
        </w:rPr>
        <w:tab/>
        <w:t>3 248,0тис..грн.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Перевищення фактичного запасу платоспроможностi над розрахунковим нормативним</w:t>
      </w:r>
      <w:r>
        <w:rPr>
          <w:rFonts w:ascii="Times New Roman CYR" w:hAnsi="Times New Roman CYR" w:cs="Times New Roman CYR"/>
        </w:rPr>
        <w:tab/>
        <w:t>43 549,0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Нормативiв  диверсифiкованостi  активiв  виконано в повному обсязi. Резерви в звiтному перiодi були розмiщеннi згiдно ПОЛОЖЕННЯ про обов'язковi критерiї i но</w:t>
      </w:r>
      <w:r>
        <w:rPr>
          <w:rFonts w:ascii="Times New Roman CYR" w:hAnsi="Times New Roman CYR" w:cs="Times New Roman CYR"/>
        </w:rPr>
        <w:t>рмативи достатностi капiталу та платоспроможностi, лiквiдностi, прибутковостi, якостi активiв та ризиковостi операцiй страховика. Банки, в яких розмiщенi депозити, мають кредитнi рейтинги не нижче uaA за нацiональною рейтинговою шкалою  Резерви представлен</w:t>
      </w:r>
      <w:r>
        <w:rPr>
          <w:rFonts w:ascii="Times New Roman CYR" w:hAnsi="Times New Roman CYR" w:cs="Times New Roman CYR"/>
        </w:rPr>
        <w:t>i грошовими коштами на поточних рахунках (30%), банкiвськими вкладами (депозитами-70%), нерухоме майно (0%). Порушення законодавства, щодо розмiщення резервiв не було.</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Вiдповiдно до вимог ПОЛОЖЕННЯ про обов'язковi критерiї i нормативи достатностi капiталу</w:t>
      </w:r>
      <w:r>
        <w:rPr>
          <w:rFonts w:ascii="Times New Roman CYR" w:hAnsi="Times New Roman CYR" w:cs="Times New Roman CYR"/>
        </w:rPr>
        <w:t xml:space="preserve"> та платоспроможностi, лiквiдностi, прибутковостi, якостi активiв  та ризиковостi операцiй страховика, Компанiя станом на 31 березня 202 3року виконує  всi нормативи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В таблицi представленi основнi активи Компанiї.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Таблиця 4</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Iнформацiя щодо струк</w:t>
      </w:r>
      <w:r>
        <w:rPr>
          <w:rFonts w:ascii="Times New Roman CYR" w:hAnsi="Times New Roman CYR" w:cs="Times New Roman CYR"/>
        </w:rPr>
        <w:t>тури активiв, їх обтяжень, дотримання нормативу платоспроможностi та достатностi капiталу, нормативу ризиковостi операцiй та нормативу якостi активiв на 31.03.2023 р.</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Показники</w:t>
      </w:r>
      <w:r>
        <w:rPr>
          <w:rFonts w:ascii="Times New Roman CYR" w:hAnsi="Times New Roman CYR" w:cs="Times New Roman CYR"/>
        </w:rPr>
        <w:tab/>
        <w:t xml:space="preserve">Усього, </w:t>
      </w:r>
      <w:r>
        <w:rPr>
          <w:rFonts w:ascii="Times New Roman CYR" w:hAnsi="Times New Roman CYR" w:cs="Times New Roman CYR"/>
        </w:rPr>
        <w:tab/>
        <w:t>Наявнiсть обтяжень, обмежень щодо володiння активами (застави, гарант</w:t>
      </w:r>
      <w:r>
        <w:rPr>
          <w:rFonts w:ascii="Times New Roman CYR" w:hAnsi="Times New Roman CYR" w:cs="Times New Roman CYR"/>
        </w:rPr>
        <w:t>iї, зобов'язання, заборона на вiдчуження, цiльове використання тощо), правочин, внаслiдок якого вiдбулося обтяження, обмеження щодо володiння, строк обтяження, обмеження щодо володiння та/або iнформацiя щодо неможливостi суб'єкта аудиторської дiяльностi, я</w:t>
      </w:r>
      <w:r>
        <w:rPr>
          <w:rFonts w:ascii="Times New Roman CYR" w:hAnsi="Times New Roman CYR" w:cs="Times New Roman CYR"/>
        </w:rPr>
        <w:t>кий вiдповiдно до законодавства має право проводити обов'язковий аудит фiнансової звiтностi пiдприємств, що становлять суспiльний iнтерес, визначити балансову вартiсть даного активу</w:t>
      </w:r>
      <w:r>
        <w:rPr>
          <w:rFonts w:ascii="Times New Roman CYR" w:hAnsi="Times New Roman CYR" w:cs="Times New Roman CYR"/>
        </w:rPr>
        <w:tab/>
        <w:t>Активи, якi враховано до нормативу платоспроможностi, та достатностi капiт</w:t>
      </w:r>
      <w:r>
        <w:rPr>
          <w:rFonts w:ascii="Times New Roman CYR" w:hAnsi="Times New Roman CYR" w:cs="Times New Roman CYR"/>
        </w:rPr>
        <w:t>алу, тис. грн</w:t>
      </w:r>
      <w:r>
        <w:rPr>
          <w:rFonts w:ascii="Times New Roman CYR" w:hAnsi="Times New Roman CYR" w:cs="Times New Roman CYR"/>
        </w:rPr>
        <w:tab/>
        <w:t>Активи, якi враховано до нормативу ризиковостi операцiй (представлення коштiв сформованих страхових резервiв), тис. грн</w:t>
      </w:r>
      <w:r>
        <w:rPr>
          <w:rFonts w:ascii="Times New Roman CYR" w:hAnsi="Times New Roman CYR" w:cs="Times New Roman CYR"/>
        </w:rPr>
        <w:tab/>
        <w:t>Активи, якi враховано до нормативу якостi активiв,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ab/>
        <w:t>тис. грн</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УСЬОГО:</w:t>
      </w:r>
      <w:r>
        <w:rPr>
          <w:rFonts w:ascii="Times New Roman CYR" w:hAnsi="Times New Roman CYR" w:cs="Times New Roman CYR"/>
        </w:rPr>
        <w:tab/>
        <w:t>39 520,00</w:t>
      </w:r>
      <w:r>
        <w:rPr>
          <w:rFonts w:ascii="Times New Roman CYR" w:hAnsi="Times New Roman CYR" w:cs="Times New Roman CYR"/>
        </w:rPr>
        <w:tab/>
        <w:t>-</w:t>
      </w:r>
      <w:r>
        <w:rPr>
          <w:rFonts w:ascii="Times New Roman CYR" w:hAnsi="Times New Roman CYR" w:cs="Times New Roman CYR"/>
        </w:rPr>
        <w:tab/>
        <w:t>39 520,00</w:t>
      </w:r>
      <w:r>
        <w:rPr>
          <w:rFonts w:ascii="Times New Roman CYR" w:hAnsi="Times New Roman CYR" w:cs="Times New Roman CYR"/>
        </w:rPr>
        <w:tab/>
        <w:t>2 204,40</w:t>
      </w:r>
      <w:r>
        <w:rPr>
          <w:rFonts w:ascii="Times New Roman CYR" w:hAnsi="Times New Roman CYR" w:cs="Times New Roman CYR"/>
        </w:rPr>
        <w:tab/>
        <w:t>1 837,0</w:t>
      </w:r>
      <w:r>
        <w:rPr>
          <w:rFonts w:ascii="Times New Roman CYR" w:hAnsi="Times New Roman CYR" w:cs="Times New Roman CYR"/>
        </w:rPr>
        <w:t>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 грошовi кошти на поточних рахунках, у тому числi:</w:t>
      </w:r>
      <w:r>
        <w:rPr>
          <w:rFonts w:ascii="Times New Roman CYR" w:hAnsi="Times New Roman CYR" w:cs="Times New Roman CYR"/>
        </w:rPr>
        <w:tab/>
        <w:t>3 893 ,00</w:t>
      </w:r>
      <w:r>
        <w:rPr>
          <w:rFonts w:ascii="Times New Roman CYR" w:hAnsi="Times New Roman CYR" w:cs="Times New Roman CYR"/>
        </w:rPr>
        <w:tab/>
        <w:t xml:space="preserve"> </w:t>
      </w:r>
      <w:r>
        <w:rPr>
          <w:rFonts w:ascii="Times New Roman CYR" w:hAnsi="Times New Roman CYR" w:cs="Times New Roman CYR"/>
        </w:rPr>
        <w:tab/>
        <w:t>3 893 ,00</w:t>
      </w:r>
      <w:r>
        <w:rPr>
          <w:rFonts w:ascii="Times New Roman CYR" w:hAnsi="Times New Roman CYR" w:cs="Times New Roman CYR"/>
        </w:rPr>
        <w:tab/>
        <w:t>551, 10</w:t>
      </w:r>
      <w:r>
        <w:rPr>
          <w:rFonts w:ascii="Times New Roman CYR" w:hAnsi="Times New Roman CYR" w:cs="Times New Roman CYR"/>
        </w:rPr>
        <w:tab/>
        <w:t>551, 10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АТ Сенс-Банк,23494714</w:t>
      </w:r>
      <w:r>
        <w:rPr>
          <w:rFonts w:ascii="Times New Roman CYR" w:hAnsi="Times New Roman CYR" w:cs="Times New Roman CYR"/>
        </w:rPr>
        <w:tab/>
        <w:t>12,00</w:t>
      </w:r>
      <w:r>
        <w:rPr>
          <w:rFonts w:ascii="Times New Roman CYR" w:hAnsi="Times New Roman CYR" w:cs="Times New Roman CYR"/>
        </w:rPr>
        <w:tab/>
        <w:t>-</w:t>
      </w:r>
      <w:r>
        <w:rPr>
          <w:rFonts w:ascii="Times New Roman CYR" w:hAnsi="Times New Roman CYR" w:cs="Times New Roman CYR"/>
        </w:rPr>
        <w:tab/>
        <w:t>12 ,00</w:t>
      </w:r>
      <w:r>
        <w:rPr>
          <w:rFonts w:ascii="Times New Roman CYR" w:hAnsi="Times New Roman CYR" w:cs="Times New Roman CYR"/>
        </w:rPr>
        <w:tab/>
        <w:t xml:space="preserve"> </w:t>
      </w:r>
      <w:r>
        <w:rPr>
          <w:rFonts w:ascii="Times New Roman CYR" w:hAnsi="Times New Roman CYR" w:cs="Times New Roman CYR"/>
        </w:rPr>
        <w:tab/>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ПАТ КБ "ПриватБанк", 14360570</w:t>
      </w:r>
      <w:r>
        <w:rPr>
          <w:rFonts w:ascii="Times New Roman CYR" w:hAnsi="Times New Roman CYR" w:cs="Times New Roman CYR"/>
        </w:rPr>
        <w:tab/>
        <w:t>3 750 ,00</w:t>
      </w:r>
      <w:r>
        <w:rPr>
          <w:rFonts w:ascii="Times New Roman CYR" w:hAnsi="Times New Roman CYR" w:cs="Times New Roman CYR"/>
        </w:rPr>
        <w:tab/>
        <w:t>-</w:t>
      </w:r>
      <w:r>
        <w:rPr>
          <w:rFonts w:ascii="Times New Roman CYR" w:hAnsi="Times New Roman CYR" w:cs="Times New Roman CYR"/>
        </w:rPr>
        <w:tab/>
        <w:t>3 750 ,00</w:t>
      </w:r>
      <w:r>
        <w:rPr>
          <w:rFonts w:ascii="Times New Roman CYR" w:hAnsi="Times New Roman CYR" w:cs="Times New Roman CYR"/>
        </w:rPr>
        <w:tab/>
        <w:t>551, 10</w:t>
      </w:r>
      <w:r>
        <w:rPr>
          <w:rFonts w:ascii="Times New Roman CYR" w:hAnsi="Times New Roman CYR" w:cs="Times New Roman CYR"/>
        </w:rPr>
        <w:tab/>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ПАТ АБ "УКРГАЗБАНК", код 23697280</w:t>
      </w:r>
      <w:r>
        <w:rPr>
          <w:rFonts w:ascii="Times New Roman CYR" w:hAnsi="Times New Roman CYR" w:cs="Times New Roman CYR"/>
        </w:rPr>
        <w:tab/>
        <w:t>70,00</w:t>
      </w:r>
      <w:r>
        <w:rPr>
          <w:rFonts w:ascii="Times New Roman CYR" w:hAnsi="Times New Roman CYR" w:cs="Times New Roman CYR"/>
        </w:rPr>
        <w:tab/>
        <w:t>-</w:t>
      </w:r>
      <w:r>
        <w:rPr>
          <w:rFonts w:ascii="Times New Roman CYR" w:hAnsi="Times New Roman CYR" w:cs="Times New Roman CYR"/>
        </w:rPr>
        <w:tab/>
        <w:t>70 ,00</w:t>
      </w:r>
      <w:r>
        <w:rPr>
          <w:rFonts w:ascii="Times New Roman CYR" w:hAnsi="Times New Roman CYR" w:cs="Times New Roman CYR"/>
        </w:rPr>
        <w:tab/>
        <w:t xml:space="preserve"> </w:t>
      </w:r>
      <w:r>
        <w:rPr>
          <w:rFonts w:ascii="Times New Roman CYR" w:hAnsi="Times New Roman CYR" w:cs="Times New Roman CYR"/>
        </w:rPr>
        <w:tab/>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ПАТ КБ "ПриватБанк", 14360570</w:t>
      </w:r>
      <w:r>
        <w:rPr>
          <w:rFonts w:ascii="Times New Roman CYR" w:hAnsi="Times New Roman CYR" w:cs="Times New Roman CYR"/>
        </w:rPr>
        <w:tab/>
        <w:t>61 ,00</w:t>
      </w:r>
      <w:r>
        <w:rPr>
          <w:rFonts w:ascii="Times New Roman CYR" w:hAnsi="Times New Roman CYR" w:cs="Times New Roman CYR"/>
        </w:rPr>
        <w:tab/>
        <w:t>-</w:t>
      </w:r>
      <w:r>
        <w:rPr>
          <w:rFonts w:ascii="Times New Roman CYR" w:hAnsi="Times New Roman CYR" w:cs="Times New Roman CYR"/>
        </w:rPr>
        <w:tab/>
        <w:t>61,00</w:t>
      </w:r>
      <w:r>
        <w:rPr>
          <w:rFonts w:ascii="Times New Roman CYR" w:hAnsi="Times New Roman CYR" w:cs="Times New Roman CYR"/>
        </w:rPr>
        <w:tab/>
        <w:t xml:space="preserve"> </w:t>
      </w:r>
      <w:r>
        <w:rPr>
          <w:rFonts w:ascii="Times New Roman CYR" w:hAnsi="Times New Roman CYR" w:cs="Times New Roman CYR"/>
        </w:rPr>
        <w:tab/>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 банкiвськi вклади (депозити) та рахунки умовного зберiгання (ескроу), у тому числi:</w:t>
      </w:r>
      <w:r>
        <w:rPr>
          <w:rFonts w:ascii="Times New Roman CYR" w:hAnsi="Times New Roman CYR" w:cs="Times New Roman CYR"/>
        </w:rPr>
        <w:tab/>
        <w:t>4 067 ,00</w:t>
      </w:r>
      <w:r>
        <w:rPr>
          <w:rFonts w:ascii="Times New Roman CYR" w:hAnsi="Times New Roman CYR" w:cs="Times New Roman CYR"/>
        </w:rPr>
        <w:tab/>
        <w:t xml:space="preserve"> </w:t>
      </w:r>
      <w:r>
        <w:rPr>
          <w:rFonts w:ascii="Times New Roman CYR" w:hAnsi="Times New Roman CYR" w:cs="Times New Roman CYR"/>
        </w:rPr>
        <w:tab/>
        <w:t>4 067 ,00</w:t>
      </w:r>
      <w:r>
        <w:rPr>
          <w:rFonts w:ascii="Times New Roman CYR" w:hAnsi="Times New Roman CYR" w:cs="Times New Roman CYR"/>
        </w:rPr>
        <w:tab/>
        <w:t>1 285, 90</w:t>
      </w:r>
      <w:r>
        <w:rPr>
          <w:rFonts w:ascii="Times New Roman CYR" w:hAnsi="Times New Roman CYR" w:cs="Times New Roman CYR"/>
        </w:rPr>
        <w:tab/>
        <w:t>1 285, 90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 таких банках (найменування та код за ЄДРПОУ банка):</w:t>
      </w:r>
      <w:r>
        <w:rPr>
          <w:rFonts w:ascii="Times New Roman CYR" w:hAnsi="Times New Roman CYR" w:cs="Times New Roman CYR"/>
        </w:rPr>
        <w:tab/>
        <w:t>-</w:t>
      </w:r>
      <w:r>
        <w:rPr>
          <w:rFonts w:ascii="Times New Roman CYR" w:hAnsi="Times New Roman CYR" w:cs="Times New Roman CYR"/>
        </w:rPr>
        <w:tab/>
        <w:t>-</w:t>
      </w:r>
      <w:r>
        <w:rPr>
          <w:rFonts w:ascii="Times New Roman CYR" w:hAnsi="Times New Roman CYR" w:cs="Times New Roman CYR"/>
        </w:rPr>
        <w:tab/>
        <w:t>-</w:t>
      </w:r>
      <w:r>
        <w:rPr>
          <w:rFonts w:ascii="Times New Roman CYR" w:hAnsi="Times New Roman CYR" w:cs="Times New Roman CYR"/>
        </w:rPr>
        <w:tab/>
        <w:t>-</w:t>
      </w:r>
      <w:r>
        <w:rPr>
          <w:rFonts w:ascii="Times New Roman CYR" w:hAnsi="Times New Roman CYR" w:cs="Times New Roman CYR"/>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АТ "IДЕЯ Ба</w:t>
      </w:r>
      <w:r>
        <w:rPr>
          <w:rFonts w:ascii="Times New Roman CYR" w:hAnsi="Times New Roman CYR" w:cs="Times New Roman CYR"/>
        </w:rPr>
        <w:t>нк",19390819</w:t>
      </w:r>
      <w:r>
        <w:rPr>
          <w:rFonts w:ascii="Times New Roman CYR" w:hAnsi="Times New Roman CYR" w:cs="Times New Roman CYR"/>
        </w:rPr>
        <w:tab/>
        <w:t>2 201,00</w:t>
      </w:r>
      <w:r>
        <w:rPr>
          <w:rFonts w:ascii="Times New Roman CYR" w:hAnsi="Times New Roman CYR" w:cs="Times New Roman CYR"/>
        </w:rPr>
        <w:tab/>
        <w:t>-</w:t>
      </w:r>
      <w:r>
        <w:rPr>
          <w:rFonts w:ascii="Times New Roman CYR" w:hAnsi="Times New Roman CYR" w:cs="Times New Roman CYR"/>
        </w:rPr>
        <w:tab/>
        <w:t>2 201 ,00</w:t>
      </w:r>
      <w:r>
        <w:rPr>
          <w:rFonts w:ascii="Times New Roman CYR" w:hAnsi="Times New Roman CYR" w:cs="Times New Roman CYR"/>
        </w:rPr>
        <w:tab/>
        <w:t>367, 40</w:t>
      </w:r>
      <w:r>
        <w:rPr>
          <w:rFonts w:ascii="Times New Roman CYR" w:hAnsi="Times New Roman CYR" w:cs="Times New Roman CYR"/>
        </w:rPr>
        <w:tab/>
        <w:t>367, 40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ПАТ АБ "УКРГАЗБАНК", код 23697280</w:t>
      </w:r>
      <w:r>
        <w:rPr>
          <w:rFonts w:ascii="Times New Roman CYR" w:hAnsi="Times New Roman CYR" w:cs="Times New Roman CYR"/>
        </w:rPr>
        <w:tab/>
        <w:t>961 ,00</w:t>
      </w:r>
      <w:r>
        <w:rPr>
          <w:rFonts w:ascii="Times New Roman CYR" w:hAnsi="Times New Roman CYR" w:cs="Times New Roman CYR"/>
        </w:rPr>
        <w:tab/>
        <w:t>-</w:t>
      </w:r>
      <w:r>
        <w:rPr>
          <w:rFonts w:ascii="Times New Roman CYR" w:hAnsi="Times New Roman CYR" w:cs="Times New Roman CYR"/>
        </w:rPr>
        <w:tab/>
        <w:t>961 ,00</w:t>
      </w:r>
      <w:r>
        <w:rPr>
          <w:rFonts w:ascii="Times New Roman CYR" w:hAnsi="Times New Roman CYR" w:cs="Times New Roman CYR"/>
        </w:rPr>
        <w:tab/>
        <w:t>367, 40</w:t>
      </w:r>
      <w:r>
        <w:rPr>
          <w:rFonts w:ascii="Times New Roman CYR" w:hAnsi="Times New Roman CYR" w:cs="Times New Roman CYR"/>
        </w:rPr>
        <w:tab/>
        <w:t>367, 40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ПАТ "Ощадбанк", код 09322277</w:t>
      </w:r>
      <w:r>
        <w:rPr>
          <w:rFonts w:ascii="Times New Roman CYR" w:hAnsi="Times New Roman CYR" w:cs="Times New Roman CYR"/>
        </w:rPr>
        <w:tab/>
        <w:t>500 ,00</w:t>
      </w:r>
      <w:r>
        <w:rPr>
          <w:rFonts w:ascii="Times New Roman CYR" w:hAnsi="Times New Roman CYR" w:cs="Times New Roman CYR"/>
        </w:rPr>
        <w:tab/>
        <w:t>-</w:t>
      </w:r>
      <w:r>
        <w:rPr>
          <w:rFonts w:ascii="Times New Roman CYR" w:hAnsi="Times New Roman CYR" w:cs="Times New Roman CYR"/>
        </w:rPr>
        <w:tab/>
        <w:t>500,00</w:t>
      </w:r>
      <w:r>
        <w:rPr>
          <w:rFonts w:ascii="Times New Roman CYR" w:hAnsi="Times New Roman CYR" w:cs="Times New Roman CYR"/>
        </w:rPr>
        <w:tab/>
        <w:t>367, 40</w:t>
      </w:r>
      <w:r>
        <w:rPr>
          <w:rFonts w:ascii="Times New Roman CYR" w:hAnsi="Times New Roman CYR" w:cs="Times New Roman CYR"/>
        </w:rPr>
        <w:tab/>
        <w:t>367, 40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ПАТ "УНIВЕРСАЛ БАНК", код 21133352</w:t>
      </w:r>
      <w:r>
        <w:rPr>
          <w:rFonts w:ascii="Times New Roman CYR" w:hAnsi="Times New Roman CYR" w:cs="Times New Roman CYR"/>
        </w:rPr>
        <w:tab/>
        <w:t>5 ,00</w:t>
      </w:r>
      <w:r>
        <w:rPr>
          <w:rFonts w:ascii="Times New Roman CYR" w:hAnsi="Times New Roman CYR" w:cs="Times New Roman CYR"/>
        </w:rPr>
        <w:tab/>
        <w:t>-</w:t>
      </w:r>
      <w:r>
        <w:rPr>
          <w:rFonts w:ascii="Times New Roman CYR" w:hAnsi="Times New Roman CYR" w:cs="Times New Roman CYR"/>
        </w:rPr>
        <w:tab/>
        <w:t>5 ,00</w:t>
      </w:r>
      <w:r>
        <w:rPr>
          <w:rFonts w:ascii="Times New Roman CYR" w:hAnsi="Times New Roman CYR" w:cs="Times New Roman CYR"/>
        </w:rPr>
        <w:tab/>
        <w:t xml:space="preserve"> </w:t>
      </w:r>
      <w:r>
        <w:rPr>
          <w:rFonts w:ascii="Times New Roman CYR" w:hAnsi="Times New Roman CYR" w:cs="Times New Roman CYR"/>
        </w:rPr>
        <w:tab/>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ПАТ КБ "ПриватБанк"</w:t>
      </w:r>
      <w:r>
        <w:rPr>
          <w:rFonts w:ascii="Times New Roman CYR" w:hAnsi="Times New Roman CYR" w:cs="Times New Roman CYR"/>
        </w:rPr>
        <w:t>, 14360570</w:t>
      </w:r>
      <w:r>
        <w:rPr>
          <w:rFonts w:ascii="Times New Roman CYR" w:hAnsi="Times New Roman CYR" w:cs="Times New Roman CYR"/>
        </w:rPr>
        <w:tab/>
        <w:t>400 ,00</w:t>
      </w:r>
      <w:r>
        <w:rPr>
          <w:rFonts w:ascii="Times New Roman CYR" w:hAnsi="Times New Roman CYR" w:cs="Times New Roman CYR"/>
        </w:rPr>
        <w:tab/>
        <w:t>-</w:t>
      </w:r>
      <w:r>
        <w:rPr>
          <w:rFonts w:ascii="Times New Roman CYR" w:hAnsi="Times New Roman CYR" w:cs="Times New Roman CYR"/>
        </w:rPr>
        <w:tab/>
        <w:t>400 ,00</w:t>
      </w:r>
      <w:r>
        <w:rPr>
          <w:rFonts w:ascii="Times New Roman CYR" w:hAnsi="Times New Roman CYR" w:cs="Times New Roman CYR"/>
        </w:rPr>
        <w:tab/>
        <w:t>183 70</w:t>
      </w:r>
      <w:r>
        <w:rPr>
          <w:rFonts w:ascii="Times New Roman CYR" w:hAnsi="Times New Roman CYR" w:cs="Times New Roman CYR"/>
        </w:rPr>
        <w:tab/>
        <w:t>183 70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 нерухоме майно</w:t>
      </w:r>
      <w:r>
        <w:rPr>
          <w:rFonts w:ascii="Times New Roman CYR" w:hAnsi="Times New Roman CYR" w:cs="Times New Roman CYR"/>
        </w:rPr>
        <w:tab/>
        <w:t>31 560 ,00</w:t>
      </w:r>
      <w:r>
        <w:rPr>
          <w:rFonts w:ascii="Times New Roman CYR" w:hAnsi="Times New Roman CYR" w:cs="Times New Roman CYR"/>
        </w:rPr>
        <w:tab/>
        <w:t xml:space="preserve"> </w:t>
      </w:r>
      <w:r>
        <w:rPr>
          <w:rFonts w:ascii="Times New Roman CYR" w:hAnsi="Times New Roman CYR" w:cs="Times New Roman CYR"/>
        </w:rPr>
        <w:tab/>
        <w:t>31 560 ,00</w:t>
      </w:r>
      <w:r>
        <w:rPr>
          <w:rFonts w:ascii="Times New Roman CYR" w:hAnsi="Times New Roman CYR" w:cs="Times New Roman CYR"/>
        </w:rPr>
        <w:tab/>
        <w:t>367, 40</w:t>
      </w:r>
      <w:r>
        <w:rPr>
          <w:rFonts w:ascii="Times New Roman CYR" w:hAnsi="Times New Roman CYR" w:cs="Times New Roman CYR"/>
        </w:rPr>
        <w:tab/>
        <w:t>0,00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 тому числi (у розрiзi об'єктiв нерухомого майна, iз зазначенням мiсцезнаходження):</w:t>
      </w:r>
      <w:r>
        <w:rPr>
          <w:rFonts w:ascii="Times New Roman CYR" w:hAnsi="Times New Roman CYR" w:cs="Times New Roman CYR"/>
        </w:rPr>
        <w:tab/>
        <w:t>-</w:t>
      </w:r>
      <w:r>
        <w:rPr>
          <w:rFonts w:ascii="Times New Roman CYR" w:hAnsi="Times New Roman CYR" w:cs="Times New Roman CYR"/>
        </w:rPr>
        <w:tab/>
        <w:t>-</w:t>
      </w:r>
      <w:r>
        <w:rPr>
          <w:rFonts w:ascii="Times New Roman CYR" w:hAnsi="Times New Roman CYR" w:cs="Times New Roman CYR"/>
        </w:rPr>
        <w:tab/>
        <w:t>-</w:t>
      </w:r>
      <w:r>
        <w:rPr>
          <w:rFonts w:ascii="Times New Roman CYR" w:hAnsi="Times New Roman CYR" w:cs="Times New Roman CYR"/>
        </w:rPr>
        <w:tab/>
        <w:t>-</w:t>
      </w:r>
      <w:r>
        <w:rPr>
          <w:rFonts w:ascii="Times New Roman CYR" w:hAnsi="Times New Roman CYR" w:cs="Times New Roman CYR"/>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емельна дiлянка,Київська обл., Макарiвський р-н, с.Мостище, </w:t>
      </w:r>
      <w:r>
        <w:rPr>
          <w:rFonts w:ascii="Times New Roman CYR" w:hAnsi="Times New Roman CYR" w:cs="Times New Roman CYR"/>
        </w:rPr>
        <w:t xml:space="preserve">вул.Озерна </w:t>
      </w:r>
      <w:r>
        <w:rPr>
          <w:rFonts w:ascii="Times New Roman CYR" w:hAnsi="Times New Roman CYR" w:cs="Times New Roman CYR"/>
        </w:rPr>
        <w:tab/>
        <w:t>3 070 ,00</w:t>
      </w:r>
      <w:r>
        <w:rPr>
          <w:rFonts w:ascii="Times New Roman CYR" w:hAnsi="Times New Roman CYR" w:cs="Times New Roman CYR"/>
        </w:rPr>
        <w:tab/>
        <w:t>-</w:t>
      </w:r>
      <w:r>
        <w:rPr>
          <w:rFonts w:ascii="Times New Roman CYR" w:hAnsi="Times New Roman CYR" w:cs="Times New Roman CYR"/>
        </w:rPr>
        <w:tab/>
        <w:t>3 070 ,00</w:t>
      </w:r>
      <w:r>
        <w:rPr>
          <w:rFonts w:ascii="Times New Roman CYR" w:hAnsi="Times New Roman CYR" w:cs="Times New Roman CYR"/>
        </w:rPr>
        <w:tab/>
        <w:t>183, 70</w:t>
      </w:r>
      <w:r>
        <w:rPr>
          <w:rFonts w:ascii="Times New Roman CYR" w:hAnsi="Times New Roman CYR" w:cs="Times New Roman CYR"/>
        </w:rPr>
        <w:tab/>
        <w:t>0,00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Земельна дiлянка,Київська обл., Макарiвський р-н, с.Мостище, вул.Озерна </w:t>
      </w:r>
      <w:r>
        <w:rPr>
          <w:rFonts w:ascii="Times New Roman CYR" w:hAnsi="Times New Roman CYR" w:cs="Times New Roman CYR"/>
        </w:rPr>
        <w:tab/>
        <w:t>690 ,00</w:t>
      </w:r>
      <w:r>
        <w:rPr>
          <w:rFonts w:ascii="Times New Roman CYR" w:hAnsi="Times New Roman CYR" w:cs="Times New Roman CYR"/>
        </w:rPr>
        <w:tab/>
        <w:t>-</w:t>
      </w:r>
      <w:r>
        <w:rPr>
          <w:rFonts w:ascii="Times New Roman CYR" w:hAnsi="Times New Roman CYR" w:cs="Times New Roman CYR"/>
        </w:rPr>
        <w:tab/>
        <w:t>690 ,00</w:t>
      </w:r>
      <w:r>
        <w:rPr>
          <w:rFonts w:ascii="Times New Roman CYR" w:hAnsi="Times New Roman CYR" w:cs="Times New Roman CYR"/>
        </w:rPr>
        <w:tab/>
        <w:t>0,00</w:t>
      </w:r>
      <w:r>
        <w:rPr>
          <w:rFonts w:ascii="Times New Roman CYR" w:hAnsi="Times New Roman CYR" w:cs="Times New Roman CYR"/>
        </w:rPr>
        <w:tab/>
        <w:t>0,00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Земельна дiлянка, Київська обл., м.Iрпiнь, см.Гостомель</w:t>
      </w:r>
      <w:r>
        <w:rPr>
          <w:rFonts w:ascii="Times New Roman CYR" w:hAnsi="Times New Roman CYR" w:cs="Times New Roman CYR"/>
        </w:rPr>
        <w:tab/>
        <w:t>20 350,00</w:t>
      </w:r>
      <w:r>
        <w:rPr>
          <w:rFonts w:ascii="Times New Roman CYR" w:hAnsi="Times New Roman CYR" w:cs="Times New Roman CYR"/>
        </w:rPr>
        <w:tab/>
        <w:t>-</w:t>
      </w:r>
      <w:r>
        <w:rPr>
          <w:rFonts w:ascii="Times New Roman CYR" w:hAnsi="Times New Roman CYR" w:cs="Times New Roman CYR"/>
        </w:rPr>
        <w:tab/>
        <w:t>20 350 ,00</w:t>
      </w:r>
      <w:r>
        <w:rPr>
          <w:rFonts w:ascii="Times New Roman CYR" w:hAnsi="Times New Roman CYR" w:cs="Times New Roman CYR"/>
        </w:rPr>
        <w:tab/>
        <w:t>0,00</w:t>
      </w:r>
      <w:r>
        <w:rPr>
          <w:rFonts w:ascii="Times New Roman CYR" w:hAnsi="Times New Roman CYR" w:cs="Times New Roman CYR"/>
        </w:rPr>
        <w:tab/>
        <w:t>0,00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емельна дiлянка,Київська обл., Макарiвський р-н, с.Мостище, вул.Озерна </w:t>
      </w:r>
      <w:r>
        <w:rPr>
          <w:rFonts w:ascii="Times New Roman CYR" w:hAnsi="Times New Roman CYR" w:cs="Times New Roman CYR"/>
        </w:rPr>
        <w:tab/>
        <w:t>690 ,00</w:t>
      </w:r>
      <w:r>
        <w:rPr>
          <w:rFonts w:ascii="Times New Roman CYR" w:hAnsi="Times New Roman CYR" w:cs="Times New Roman CYR"/>
        </w:rPr>
        <w:tab/>
        <w:t>-</w:t>
      </w:r>
      <w:r>
        <w:rPr>
          <w:rFonts w:ascii="Times New Roman CYR" w:hAnsi="Times New Roman CYR" w:cs="Times New Roman CYR"/>
        </w:rPr>
        <w:tab/>
        <w:t>690 ,00</w:t>
      </w:r>
      <w:r>
        <w:rPr>
          <w:rFonts w:ascii="Times New Roman CYR" w:hAnsi="Times New Roman CYR" w:cs="Times New Roman CYR"/>
        </w:rPr>
        <w:tab/>
        <w:t>0,00</w:t>
      </w:r>
      <w:r>
        <w:rPr>
          <w:rFonts w:ascii="Times New Roman CYR" w:hAnsi="Times New Roman CYR" w:cs="Times New Roman CYR"/>
        </w:rPr>
        <w:tab/>
        <w:t>0,00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Земельна дiлянка,Київська обл., Макарiвський р-н, с.Мостище, вул.Озерна </w:t>
      </w:r>
      <w:r>
        <w:rPr>
          <w:rFonts w:ascii="Times New Roman CYR" w:hAnsi="Times New Roman CYR" w:cs="Times New Roman CYR"/>
        </w:rPr>
        <w:tab/>
        <w:t>690 ,00</w:t>
      </w:r>
      <w:r>
        <w:rPr>
          <w:rFonts w:ascii="Times New Roman CYR" w:hAnsi="Times New Roman CYR" w:cs="Times New Roman CYR"/>
        </w:rPr>
        <w:tab/>
        <w:t>-</w:t>
      </w:r>
      <w:r>
        <w:rPr>
          <w:rFonts w:ascii="Times New Roman CYR" w:hAnsi="Times New Roman CYR" w:cs="Times New Roman CYR"/>
        </w:rPr>
        <w:tab/>
        <w:t>690 ,00</w:t>
      </w:r>
      <w:r>
        <w:rPr>
          <w:rFonts w:ascii="Times New Roman CYR" w:hAnsi="Times New Roman CYR" w:cs="Times New Roman CYR"/>
        </w:rPr>
        <w:tab/>
        <w:t>0,00</w:t>
      </w:r>
      <w:r>
        <w:rPr>
          <w:rFonts w:ascii="Times New Roman CYR" w:hAnsi="Times New Roman CYR" w:cs="Times New Roman CYR"/>
        </w:rPr>
        <w:tab/>
        <w:t>0,00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Офiсне примiщення,м.Київ, пр-кт Глушкова Академiка, б</w:t>
      </w:r>
      <w:r>
        <w:rPr>
          <w:rFonts w:ascii="Times New Roman CYR" w:hAnsi="Times New Roman CYR" w:cs="Times New Roman CYR"/>
        </w:rPr>
        <w:t>уд.9Д</w:t>
      </w:r>
      <w:r>
        <w:rPr>
          <w:rFonts w:ascii="Times New Roman CYR" w:hAnsi="Times New Roman CYR" w:cs="Times New Roman CYR"/>
        </w:rPr>
        <w:tab/>
        <w:t>3 370 ,00</w:t>
      </w:r>
      <w:r>
        <w:rPr>
          <w:rFonts w:ascii="Times New Roman CYR" w:hAnsi="Times New Roman CYR" w:cs="Times New Roman CYR"/>
        </w:rPr>
        <w:tab/>
        <w:t>-</w:t>
      </w:r>
      <w:r>
        <w:rPr>
          <w:rFonts w:ascii="Times New Roman CYR" w:hAnsi="Times New Roman CYR" w:cs="Times New Roman CYR"/>
        </w:rPr>
        <w:tab/>
        <w:t>3 370 ,00</w:t>
      </w:r>
      <w:r>
        <w:rPr>
          <w:rFonts w:ascii="Times New Roman CYR" w:hAnsi="Times New Roman CYR" w:cs="Times New Roman CYR"/>
        </w:rPr>
        <w:tab/>
        <w:t>183, 70</w:t>
      </w:r>
      <w:r>
        <w:rPr>
          <w:rFonts w:ascii="Times New Roman CYR" w:hAnsi="Times New Roman CYR" w:cs="Times New Roman CYR"/>
        </w:rPr>
        <w:tab/>
        <w:t>0,00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Офiсне примiщення,м.Київ, пр-кт Перемоги, буд.2</w:t>
      </w:r>
      <w:r>
        <w:rPr>
          <w:rFonts w:ascii="Times New Roman CYR" w:hAnsi="Times New Roman CYR" w:cs="Times New Roman CYR"/>
        </w:rPr>
        <w:tab/>
        <w:t>2 700 ,00</w:t>
      </w:r>
      <w:r>
        <w:rPr>
          <w:rFonts w:ascii="Times New Roman CYR" w:hAnsi="Times New Roman CYR" w:cs="Times New Roman CYR"/>
        </w:rPr>
        <w:tab/>
        <w:t>-</w:t>
      </w:r>
      <w:r>
        <w:rPr>
          <w:rFonts w:ascii="Times New Roman CYR" w:hAnsi="Times New Roman CYR" w:cs="Times New Roman CYR"/>
        </w:rPr>
        <w:tab/>
        <w:t>2 700 ,00</w:t>
      </w:r>
      <w:r>
        <w:rPr>
          <w:rFonts w:ascii="Times New Roman CYR" w:hAnsi="Times New Roman CYR" w:cs="Times New Roman CYR"/>
        </w:rPr>
        <w:tab/>
        <w:t>0,00</w:t>
      </w:r>
      <w:r>
        <w:rPr>
          <w:rFonts w:ascii="Times New Roman CYR" w:hAnsi="Times New Roman CYR" w:cs="Times New Roman CYR"/>
        </w:rPr>
        <w:tab/>
        <w:t>0,00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Страховi резерви</w:t>
      </w:r>
      <w:r>
        <w:rPr>
          <w:rFonts w:ascii="Times New Roman CYR" w:hAnsi="Times New Roman CYR" w:cs="Times New Roman CYR"/>
        </w:rPr>
        <w:tab/>
        <w:t>1 837 ,00</w:t>
      </w:r>
      <w:r>
        <w:rPr>
          <w:rFonts w:ascii="Times New Roman CYR" w:hAnsi="Times New Roman CYR" w:cs="Times New Roman CYR"/>
        </w:rPr>
        <w:tab/>
      </w:r>
      <w:r>
        <w:rPr>
          <w:rFonts w:ascii="Times New Roman CYR" w:hAnsi="Times New Roman CYR" w:cs="Times New Roman CYR"/>
        </w:rPr>
        <w:tab/>
        <w:t>1 837 ,00</w:t>
      </w:r>
      <w:r>
        <w:rPr>
          <w:rFonts w:ascii="Times New Roman CYR" w:hAnsi="Times New Roman CYR" w:cs="Times New Roman CYR"/>
        </w:rPr>
        <w:tab/>
        <w:t>1 837,00</w:t>
      </w:r>
      <w:r>
        <w:rPr>
          <w:rFonts w:ascii="Times New Roman CYR" w:hAnsi="Times New Roman CYR" w:cs="Times New Roman CYR"/>
        </w:rPr>
        <w:tab/>
        <w:t>367 ,00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Поточнi забов"язання</w:t>
      </w:r>
      <w:r>
        <w:rPr>
          <w:rFonts w:ascii="Times New Roman CYR" w:hAnsi="Times New Roman CYR" w:cs="Times New Roman CYR"/>
        </w:rPr>
        <w:tab/>
        <w:t>3 760 ,00</w:t>
      </w:r>
      <w:r>
        <w:rPr>
          <w:rFonts w:ascii="Times New Roman CYR" w:hAnsi="Times New Roman CYR" w:cs="Times New Roman CYR"/>
        </w:rPr>
        <w:tab/>
      </w:r>
      <w:r>
        <w:rPr>
          <w:rFonts w:ascii="Times New Roman CYR" w:hAnsi="Times New Roman CYR" w:cs="Times New Roman CYR"/>
        </w:rPr>
        <w:tab/>
        <w:t>3 760 ,00</w:t>
      </w:r>
      <w:r>
        <w:rPr>
          <w:rFonts w:ascii="Times New Roman CYR" w:hAnsi="Times New Roman CYR" w:cs="Times New Roman CYR"/>
        </w:rPr>
        <w:tab/>
      </w:r>
      <w:r>
        <w:rPr>
          <w:rFonts w:ascii="Times New Roman CYR" w:hAnsi="Times New Roman CYR" w:cs="Times New Roman CYR"/>
        </w:rPr>
        <w:tab/>
        <w:t>0,00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Капiтал</w:t>
      </w:r>
      <w:r>
        <w:rPr>
          <w:rFonts w:ascii="Times New Roman CYR" w:hAnsi="Times New Roman CYR" w:cs="Times New Roman CYR"/>
        </w:rPr>
        <w:tab/>
        <w:t>30 000,00</w:t>
      </w:r>
      <w:r>
        <w:rPr>
          <w:rFonts w:ascii="Times New Roman CYR" w:hAnsi="Times New Roman CYR" w:cs="Times New Roman CYR"/>
        </w:rPr>
        <w:tab/>
      </w:r>
      <w:r>
        <w:rPr>
          <w:rFonts w:ascii="Times New Roman CYR" w:hAnsi="Times New Roman CYR" w:cs="Times New Roman CYR"/>
        </w:rPr>
        <w:tab/>
        <w:t>30</w:t>
      </w:r>
      <w:r>
        <w:rPr>
          <w:rFonts w:ascii="Times New Roman CYR" w:hAnsi="Times New Roman CYR" w:cs="Times New Roman CYR"/>
        </w:rPr>
        <w:t xml:space="preserve"> 000 ,00</w:t>
      </w:r>
      <w:r>
        <w:rPr>
          <w:rFonts w:ascii="Times New Roman CYR" w:hAnsi="Times New Roman CYR" w:cs="Times New Roman CYR"/>
        </w:rPr>
        <w:tab/>
      </w:r>
      <w:r>
        <w:rPr>
          <w:rFonts w:ascii="Times New Roman CYR" w:hAnsi="Times New Roman CYR" w:cs="Times New Roman CYR"/>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Всьгоо </w:t>
      </w:r>
      <w:r>
        <w:rPr>
          <w:rFonts w:ascii="Times New Roman CYR" w:hAnsi="Times New Roman CYR" w:cs="Times New Roman CYR"/>
        </w:rPr>
        <w:tab/>
        <w:t>35 597,00</w:t>
      </w:r>
      <w:r>
        <w:rPr>
          <w:rFonts w:ascii="Times New Roman CYR" w:hAnsi="Times New Roman CYR" w:cs="Times New Roman CYR"/>
        </w:rPr>
        <w:tab/>
      </w:r>
      <w:r>
        <w:rPr>
          <w:rFonts w:ascii="Times New Roman CYR" w:hAnsi="Times New Roman CYR" w:cs="Times New Roman CYR"/>
        </w:rPr>
        <w:tab/>
        <w:t>35 597 ,00</w:t>
      </w:r>
      <w:r>
        <w:rPr>
          <w:rFonts w:ascii="Times New Roman CYR" w:hAnsi="Times New Roman CYR" w:cs="Times New Roman CYR"/>
        </w:rPr>
        <w:tab/>
      </w:r>
      <w:r>
        <w:rPr>
          <w:rFonts w:ascii="Times New Roman CYR" w:hAnsi="Times New Roman CYR" w:cs="Times New Roman CYR"/>
        </w:rPr>
        <w:tab/>
        <w:t>0,00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Перевищення</w:t>
      </w:r>
      <w:r>
        <w:rPr>
          <w:rFonts w:ascii="Times New Roman CYR" w:hAnsi="Times New Roman CYR" w:cs="Times New Roman CYR"/>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3 923 ,00</w:t>
      </w:r>
      <w:r>
        <w:rPr>
          <w:rFonts w:ascii="Times New Roman CYR" w:hAnsi="Times New Roman CYR" w:cs="Times New Roman CYR"/>
        </w:rPr>
        <w:tab/>
      </w:r>
      <w:r>
        <w:rPr>
          <w:rFonts w:ascii="Times New Roman CYR" w:hAnsi="Times New Roman CYR" w:cs="Times New Roman CYR"/>
        </w:rPr>
        <w:tab/>
        <w:t>3 923 ,00</w:t>
      </w:r>
      <w:r>
        <w:rPr>
          <w:rFonts w:ascii="Times New Roman CYR" w:hAnsi="Times New Roman CYR" w:cs="Times New Roman CYR"/>
        </w:rPr>
        <w:tab/>
        <w:t>367,00</w:t>
      </w:r>
      <w:r>
        <w:rPr>
          <w:rFonts w:ascii="Times New Roman CYR" w:hAnsi="Times New Roman CYR" w:cs="Times New Roman CYR"/>
        </w:rPr>
        <w:tab/>
        <w:t>1 469, 00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4.  Iнша iнформацiя, що потребує уточнення, деталiзацiї та додаткових пояснень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Додатково розкриваємо iнформацiю, щодо стр.1015  "Iнвестицiйна нерухомiс</w:t>
      </w:r>
      <w:r>
        <w:rPr>
          <w:rFonts w:ascii="Times New Roman CYR" w:hAnsi="Times New Roman CYR" w:cs="Times New Roman CYR"/>
        </w:rPr>
        <w:t>ть" Звiту про фiнансовий стан на 01 квiтня 2023р.</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w:t>
      </w:r>
      <w:r>
        <w:rPr>
          <w:rFonts w:ascii="Times New Roman CYR" w:hAnsi="Times New Roman CYR" w:cs="Times New Roman CYR"/>
        </w:rPr>
        <w:tab/>
        <w:t>Земельна дiлянка (3222784701:01:011:0173) -  690,0 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w:t>
      </w:r>
      <w:r>
        <w:rPr>
          <w:rFonts w:ascii="Times New Roman CYR" w:hAnsi="Times New Roman CYR" w:cs="Times New Roman CYR"/>
        </w:rPr>
        <w:tab/>
        <w:t>Земельна дiлянка (32227847010:01:011:0174) - 690,0 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w:t>
      </w:r>
      <w:r>
        <w:rPr>
          <w:rFonts w:ascii="Times New Roman CYR" w:hAnsi="Times New Roman CYR" w:cs="Times New Roman CYR"/>
        </w:rPr>
        <w:tab/>
        <w:t>Земельна дiлянка (3222784701:01:011:0175) -   690,0 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w:t>
      </w:r>
      <w:r>
        <w:rPr>
          <w:rFonts w:ascii="Times New Roman CYR" w:hAnsi="Times New Roman CYR" w:cs="Times New Roman CYR"/>
        </w:rPr>
        <w:tab/>
        <w:t>Земельна дiлянка (3210945900:01:076:0102) -   20 3500,0 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w:t>
      </w:r>
      <w:r>
        <w:rPr>
          <w:rFonts w:ascii="Times New Roman CYR" w:hAnsi="Times New Roman CYR" w:cs="Times New Roman CYR"/>
        </w:rPr>
        <w:tab/>
        <w:t>Земельна дiлянка 3222782100-03-014-0032-       3 070,0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w:t>
      </w:r>
      <w:r>
        <w:rPr>
          <w:rFonts w:ascii="Times New Roman CYR" w:hAnsi="Times New Roman CYR" w:cs="Times New Roman CYR"/>
        </w:rPr>
        <w:tab/>
        <w:t>Об`єкт нерухомостi, квартира,  м. Київ, проспект Перемоги, буд.2, кв.75</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w:t>
      </w:r>
      <w:r>
        <w:rPr>
          <w:rFonts w:ascii="Times New Roman CYR" w:hAnsi="Times New Roman CYR" w:cs="Times New Roman CYR"/>
        </w:rPr>
        <w:tab/>
        <w:t xml:space="preserve"> - 2 700,0 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w:t>
      </w:r>
      <w:r>
        <w:rPr>
          <w:rFonts w:ascii="Times New Roman CYR" w:hAnsi="Times New Roman CYR" w:cs="Times New Roman CYR"/>
        </w:rPr>
        <w:tab/>
        <w:t xml:space="preserve">Об`єкт нерухомостi, </w:t>
      </w:r>
      <w:r>
        <w:rPr>
          <w:rFonts w:ascii="Times New Roman CYR" w:hAnsi="Times New Roman CYR" w:cs="Times New Roman CYR"/>
        </w:rPr>
        <w:t>квартира, Глушкова, 9Д- 3 370,0 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Генеральний  директор                                                               I.О. Яхниця </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rPr>
        <w:sectPr w:rsidR="00000000">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90"/>
        <w:gridCol w:w="1990"/>
        <w:gridCol w:w="1360"/>
      </w:tblGrid>
      <w:tr w:rsidR="00000000">
        <w:tblPrEx>
          <w:tblCellMar>
            <w:top w:w="0" w:type="dxa"/>
            <w:bottom w:w="0" w:type="dxa"/>
          </w:tblCellMar>
        </w:tblPrEx>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000000">
        <w:tblPrEx>
          <w:tblCellMar>
            <w:top w:w="0" w:type="dxa"/>
            <w:bottom w:w="0" w:type="dxa"/>
          </w:tblCellMar>
        </w:tblPrEx>
        <w:trPr>
          <w:gridBefore w:val="2"/>
          <w:wBefore w:w="6650" w:type="dxa"/>
          <w:trHeight w:val="200"/>
        </w:trPr>
        <w:tc>
          <w:tcPr>
            <w:tcW w:w="1990" w:type="dxa"/>
            <w:tcBorders>
              <w:top w:val="nil"/>
              <w:left w:val="nil"/>
              <w:bottom w:val="nil"/>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01.04.2023</w:t>
            </w:r>
          </w:p>
        </w:tc>
      </w:tr>
      <w:tr w:rsidR="00000000">
        <w:tblPrEx>
          <w:tblCellMar>
            <w:top w:w="0" w:type="dxa"/>
            <w:bottom w:w="0" w:type="dxa"/>
          </w:tblCellMar>
        </w:tblPrEx>
        <w:tc>
          <w:tcPr>
            <w:tcW w:w="2160" w:type="dxa"/>
            <w:tcBorders>
              <w:top w:val="nil"/>
              <w:left w:val="nil"/>
              <w:bottom w:val="nil"/>
              <w:right w:val="nil"/>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90" w:type="dxa"/>
            <w:vMerge w:val="restart"/>
            <w:tcBorders>
              <w:top w:val="nil"/>
              <w:left w:val="nil"/>
              <w:bottom w:val="nil"/>
              <w:right w:val="nil"/>
            </w:tcBorders>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990" w:type="dxa"/>
            <w:tcBorders>
              <w:top w:val="nil"/>
              <w:left w:val="nil"/>
              <w:bottom w:val="nil"/>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bl>
    <w:p w:rsidR="00000000" w:rsidRDefault="00E13A3F">
      <w:pPr>
        <w:widowControl w:val="0"/>
        <w:autoSpaceDE w:val="0"/>
        <w:autoSpaceDN w:val="0"/>
        <w:adjustRightInd w:val="0"/>
        <w:spacing w:after="0" w:line="240" w:lineRule="auto"/>
        <w:rPr>
          <w:rFonts w:ascii="Times New Roman CYR" w:hAnsi="Times New Roman CYR" w:cs="Times New Roman CYR"/>
        </w:rPr>
      </w:pPr>
    </w:p>
    <w:p w:rsidR="00000000" w:rsidRDefault="00E13A3F">
      <w:pPr>
        <w:widowControl w:val="0"/>
        <w:autoSpaceDE w:val="0"/>
        <w:autoSpaceDN w:val="0"/>
        <w:adjustRightInd w:val="0"/>
        <w:spacing w:after="0" w:line="240" w:lineRule="auto"/>
        <w:rPr>
          <w:rFonts w:ascii="Times New Roman CYR" w:hAnsi="Times New Roman CYR" w:cs="Times New Roman CYR"/>
        </w:r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рух грошових коштів (за прямим методом)</w:t>
      </w:r>
    </w:p>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1 квартал 2023 року</w:t>
      </w:r>
    </w:p>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Default="00E13A3F">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right"/>
              <w:rPr>
                <w:rFonts w:ascii="Times New Roman CYR" w:hAnsi="Times New Roman CYR" w:cs="Times New Roman CYR"/>
              </w:r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Рух коштів у результаті операційної діяльності</w:t>
            </w:r>
          </w:p>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634</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6 529</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6 045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( 889 )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( 355 )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( 249 )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( 239 )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( 66 )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( 62 )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( 1 186 )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( 62 )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( 263 )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( 57 )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( 3 524 )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( 5 135 )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( 346 )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( 16 )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911</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Рух коштів у результаті інвестиційної діяльності</w:t>
            </w:r>
          </w:p>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III. Рух коштів у результаті фінансової діяльності</w:t>
            </w:r>
          </w:p>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1 026</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6 943</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4 925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7 969</w:t>
            </w:r>
          </w:p>
        </w:tc>
        <w:tc>
          <w:tcPr>
            <w:tcW w:w="1645"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5 251</w:t>
            </w:r>
          </w:p>
        </w:tc>
      </w:tr>
    </w:tbl>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rPr>
        <w:sectPr w:rsidR="00000000">
          <w:pgSz w:w="12240" w:h="15840"/>
          <w:pgMar w:top="850" w:right="850" w:bottom="850" w:left="1400" w:header="720" w:footer="720" w:gutter="0"/>
          <w:cols w:space="720"/>
          <w:noEndnote/>
        </w:sectPr>
      </w:pPr>
    </w:p>
    <w:tbl>
      <w:tblPr>
        <w:tblW w:w="0" w:type="auto"/>
        <w:tblInd w:w="3168" w:type="dxa"/>
        <w:tblLayout w:type="fixed"/>
        <w:tblLook w:val="0000" w:firstRow="0" w:lastRow="0" w:firstColumn="0" w:lastColumn="0" w:noHBand="0" w:noVBand="0"/>
      </w:tblPr>
      <w:tblGrid>
        <w:gridCol w:w="2240"/>
        <w:gridCol w:w="5500"/>
        <w:gridCol w:w="1800"/>
        <w:gridCol w:w="2000"/>
      </w:tblGrid>
      <w:tr w:rsidR="00000000">
        <w:tblPrEx>
          <w:tblCellMar>
            <w:top w:w="0" w:type="dxa"/>
            <w:bottom w:w="0" w:type="dxa"/>
          </w:tblCellMar>
        </w:tblPrEx>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000000">
        <w:tblPrEx>
          <w:tblCellMar>
            <w:top w:w="0" w:type="dxa"/>
            <w:bottom w:w="0" w:type="dxa"/>
          </w:tblCellMar>
        </w:tblPrEx>
        <w:trPr>
          <w:gridBefore w:val="2"/>
          <w:wBefore w:w="7740" w:type="dxa"/>
          <w:trHeight w:val="298"/>
        </w:trPr>
        <w:tc>
          <w:tcPr>
            <w:tcW w:w="1800" w:type="dxa"/>
            <w:tcBorders>
              <w:top w:val="nil"/>
              <w:left w:val="nil"/>
              <w:bottom w:val="nil"/>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01.04.2023</w:t>
            </w:r>
          </w:p>
        </w:tc>
      </w:tr>
      <w:tr w:rsidR="00000000">
        <w:tblPrEx>
          <w:tblCellMar>
            <w:top w:w="0" w:type="dxa"/>
            <w:bottom w:w="0" w:type="dxa"/>
          </w:tblCellMar>
        </w:tblPrEx>
        <w:tc>
          <w:tcPr>
            <w:tcW w:w="2240" w:type="dxa"/>
            <w:tcBorders>
              <w:top w:val="nil"/>
              <w:left w:val="nil"/>
              <w:bottom w:val="nil"/>
              <w:right w:val="nil"/>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5500" w:type="dxa"/>
            <w:vMerge w:val="restart"/>
            <w:tcBorders>
              <w:top w:val="nil"/>
              <w:left w:val="nil"/>
              <w:bottom w:val="nil"/>
              <w:right w:val="nil"/>
            </w:tcBorders>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800" w:type="dxa"/>
            <w:tcBorders>
              <w:top w:val="nil"/>
              <w:left w:val="nil"/>
              <w:bottom w:val="nil"/>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bl>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власний капітал</w:t>
      </w:r>
    </w:p>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1 квартал 2023 року</w:t>
      </w:r>
    </w:p>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1250"/>
        <w:gridCol w:w="1100"/>
        <w:gridCol w:w="1350"/>
        <w:gridCol w:w="1300"/>
        <w:gridCol w:w="1200"/>
        <w:gridCol w:w="1300"/>
        <w:gridCol w:w="950"/>
        <w:gridCol w:w="550"/>
        <w:gridCol w:w="1250"/>
        <w:gridCol w:w="50"/>
        <w:gridCol w:w="1250"/>
      </w:tblGrid>
      <w:tr w:rsidR="00000000">
        <w:tblPrEx>
          <w:tblCellMar>
            <w:top w:w="0" w:type="dxa"/>
            <w:bottom w:w="0" w:type="dxa"/>
          </w:tblCellMar>
        </w:tblPrEx>
        <w:trPr>
          <w:gridBefore w:val="8"/>
          <w:wBefore w:w="11500" w:type="dxa"/>
          <w:trHeight w:val="280"/>
        </w:trPr>
        <w:tc>
          <w:tcPr>
            <w:tcW w:w="1800" w:type="dxa"/>
            <w:gridSpan w:val="2"/>
            <w:tcBorders>
              <w:top w:val="nil"/>
              <w:left w:val="nil"/>
              <w:bottom w:val="nil"/>
              <w:right w:val="single" w:sz="6" w:space="0" w:color="auto"/>
            </w:tcBorders>
            <w:vAlign w:val="center"/>
          </w:tcPr>
          <w:p w:rsidR="00000000" w:rsidRDefault="00E13A3F">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00" w:type="dxa"/>
            <w:gridSpan w:val="2"/>
            <w:tcBorders>
              <w:top w:val="single" w:sz="6" w:space="0" w:color="auto"/>
              <w:left w:val="single" w:sz="6" w:space="0" w:color="auto"/>
              <w:bottom w:val="single" w:sz="6" w:space="0" w:color="auto"/>
            </w:tcBorders>
            <w:vAlign w:val="center"/>
          </w:tcPr>
          <w:p w:rsidR="00000000" w:rsidRDefault="00E13A3F">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1801005</w:t>
            </w:r>
          </w:p>
        </w:tc>
      </w:tr>
      <w:tr w:rsidR="00000000">
        <w:tblPrEx>
          <w:tblCellMar>
            <w:top w:w="0" w:type="dxa"/>
            <w:bottom w:w="0" w:type="dxa"/>
          </w:tblCellMar>
        </w:tblPrEx>
        <w:trPr>
          <w:trHeight w:val="530"/>
        </w:trPr>
        <w:tc>
          <w:tcPr>
            <w:tcW w:w="3050" w:type="dxa"/>
            <w:tcBorders>
              <w:top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Всього</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250" w:type="dxa"/>
            <w:tcBorders>
              <w:top w:val="single" w:sz="6" w:space="0" w:color="auto"/>
              <w:left w:val="single" w:sz="6" w:space="0" w:color="auto"/>
              <w:bottom w:val="single" w:sz="6" w:space="0" w:color="auto"/>
            </w:tcBorders>
            <w:shd w:val="clear" w:color="auto" w:fill="E6E6E6"/>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4000</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47 605</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Коригування:</w:t>
            </w:r>
          </w:p>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4005</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4010</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4090</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4095</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47 605</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4100</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-679</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-679</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4110</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4111</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4112</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4113</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4114</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4116</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Розподіл прибутку: </w:t>
            </w:r>
          </w:p>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4200</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4205</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4210</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4215</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4220</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4225</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Внески учасників: </w:t>
            </w:r>
          </w:p>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4240</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4245</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Вилучення капіталу: </w:t>
            </w:r>
          </w:p>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4260</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4265</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4270</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4275</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4280</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4290</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4291</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4295</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-679</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-679</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E13A3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4300</w:t>
            </w:r>
          </w:p>
        </w:tc>
        <w:tc>
          <w:tcPr>
            <w:tcW w:w="11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35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2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300" w:type="dxa"/>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-729</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E13A3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46 926</w:t>
            </w:r>
          </w:p>
        </w:tc>
      </w:tr>
    </w:tbl>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rPr>
        <w:sectPr w:rsidR="00000000">
          <w:pgSz w:w="16838" w:h="11906" w:orient="landscape"/>
          <w:pgMar w:top="850" w:right="850" w:bottom="850" w:left="1400" w:header="720" w:footer="720" w:gutter="0"/>
          <w:cols w:space="720"/>
          <w:noEndnote/>
        </w:sectPr>
      </w:pPr>
    </w:p>
    <w:p w:rsidR="00000000" w:rsidRDefault="00E13A3F">
      <w:pPr>
        <w:widowControl w:val="0"/>
        <w:autoSpaceDE w:val="0"/>
        <w:autoSpaceDN w:val="0"/>
        <w:adjustRightInd w:val="0"/>
        <w:spacing w:after="0" w:line="240" w:lineRule="auto"/>
        <w:jc w:val="both"/>
        <w:rPr>
          <w:rFonts w:ascii="Times New Roman CYR" w:hAnsi="Times New Roman CYR" w:cs="Times New Roman CYR"/>
        </w:rPr>
        <w:sectPr w:rsidR="00000000">
          <w:pgSz w:w="16838" w:h="11906" w:orient="landscape"/>
          <w:pgMar w:top="850" w:right="850" w:bottom="850" w:left="1400" w:header="720" w:footer="720" w:gutter="0"/>
          <w:cols w:space="720"/>
          <w:noEndnote/>
        </w:sect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Примітки до фінансової звітності, складеної відповідно до міжнародних стандартів фінансової звітності</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Змiст примiток до фiнансової звiтностi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Iнформацiя про Компанiю</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Основи подання фiнансової звiтностi.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2.1. Достовiрне подання та вiдповiднiсть МСФЗ.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2.2. Сутнiсть i вплив нових стандартiв МСФЗ.</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2.3  Валюта подання звiтностi та функцiональна валюта, ступiнь округлення.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2.4. Припущення про безперервнiсть дiяльностi.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2.5  Рi</w:t>
      </w:r>
      <w:r>
        <w:rPr>
          <w:rFonts w:ascii="Times New Roman CYR" w:hAnsi="Times New Roman CYR" w:cs="Times New Roman CYR"/>
          <w:sz w:val="24"/>
          <w:szCs w:val="24"/>
        </w:rPr>
        <w:t>шення про затвердження фiнансової звiтностi.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2.6. Звiтний перiод фiнансової звiтностi.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3. Принципи облiкової полiтики.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3.1. Основи оцiнки складання фiнансової звiтностi.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3.2. Грошовi кошти та їх еквiваленти.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3.3. Фiнансовi активи.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3.4. Основнi засоби.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3.5. Нематерiальнi активи.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3.6. Iнвестицiйна нерухомiсть.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3.7. Оренда.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3.8. Фiнансовi зобов'язання.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3.9. Податок на прибуток.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3.10. Статутний капiтал та емiсi</w:t>
      </w:r>
      <w:r>
        <w:rPr>
          <w:rFonts w:ascii="Times New Roman CYR" w:hAnsi="Times New Roman CYR" w:cs="Times New Roman CYR"/>
          <w:sz w:val="24"/>
          <w:szCs w:val="24"/>
        </w:rPr>
        <w:t>йний дохiд.</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3.11. Валюта вимiру та подання.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3.12. Резерви.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3.13. Перевiрка адекватностi страхових зобов'язань.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3.14  Iнформацiя за операцiйними сегментами.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3.15  Суттєвiсть.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Ефект змiн в облiковiй полiтицi, облiкових оцiнках та </w:t>
      </w:r>
      <w:r>
        <w:rPr>
          <w:rFonts w:ascii="Times New Roman CYR" w:hAnsi="Times New Roman CYR" w:cs="Times New Roman CYR"/>
          <w:sz w:val="24"/>
          <w:szCs w:val="24"/>
        </w:rPr>
        <w:t>виправлення суттєвих помилок.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Розкриття iнформацiї щодо використання справедливої вартостi.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5.1. Методики оцiнювання та вхiднi данi, використанi для складання оцiнок за справедливою вартiстю.</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5.2. Рiвень iєрархiї справедливої вартостi, до якого належать оцiнки справедливої вартостi.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5.3. Iншi розкриття, що вимагаються МСФЗ 13 "Оцiнка справедливої вартостi".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Розкриття iнформацiї, що пiдтверджує статтi поданi у фiн</w:t>
      </w:r>
      <w:r>
        <w:rPr>
          <w:rFonts w:ascii="Times New Roman CYR" w:hAnsi="Times New Roman CYR" w:cs="Times New Roman CYR"/>
          <w:sz w:val="24"/>
          <w:szCs w:val="24"/>
        </w:rPr>
        <w:t>ансових звiтах</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 Основнi засоби та нематерiальнi активи.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 Iнвестицiйна нерухомiсть.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6.3. Фiнансовi активи.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6.4. Оренда.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6.5. Запаси.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6.6. Дебiторська заборгованiсть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6.7. Грошовi кошти та їх еквiваленти.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6.8.  Статутний капiтал та емiсiйнi рi</w:t>
      </w:r>
      <w:r>
        <w:rPr>
          <w:rFonts w:ascii="Times New Roman CYR" w:hAnsi="Times New Roman CYR" w:cs="Times New Roman CYR"/>
          <w:sz w:val="24"/>
          <w:szCs w:val="24"/>
        </w:rPr>
        <w:t>зницi (емiсiйний дохiд), змiни у власному капiталi.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6.9. Довгостроковi зобов'язання i забезпечення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6.10. Поточнi зобов'язання i забезпечення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6.11. Тест на адекватнiсть зобов'язань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12. Потенцiйнi зобов'язання Страхової  компанiї.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6.13. Доход  вiд страхових премiй</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6.14. Iншi операцiйнi доходи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6.15. Адмiнiстративнi, витрати на збут та iншi операцiйнi витрати.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6.16. Фiнансовi доходи i витрати, iншi доходи та витрати.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6.17. Витрати на податок на прибуток та визначення чистого при</w:t>
      </w:r>
      <w:r>
        <w:rPr>
          <w:rFonts w:ascii="Times New Roman CYR" w:hAnsi="Times New Roman CYR" w:cs="Times New Roman CYR"/>
          <w:sz w:val="24"/>
          <w:szCs w:val="24"/>
        </w:rPr>
        <w:t>бутку (збитку).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6.18. Операцiйнi сегменти.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6.19. Цiлi та полiтики управлiння фiнансовими ризиками.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6.20. Управлiння капiталом</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6.21. Операцiйнi  ризики  та   полiтична  ситуацiя в Українi.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6.22. Очiкуваний вплив спалаху коронавiрусу COVID-19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6.23. Операцiї з пов'язаними сторонами.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6.24. Здатнiсть товариства продовжувати дiяльнiсть на безперервнiй основi.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6.25. Подiї пiсля дати балансу.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Iнформацiя про компанiю</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Найменування юiвуридичної особи Приватне акцiонерне товариство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w:t>
      </w:r>
      <w:r>
        <w:rPr>
          <w:rFonts w:ascii="Times New Roman CYR" w:hAnsi="Times New Roman CYR" w:cs="Times New Roman CYR"/>
          <w:sz w:val="24"/>
          <w:szCs w:val="24"/>
        </w:rPr>
        <w:t>рахова компанiя "Сатiс"</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Юридична адреса:</w:t>
      </w:r>
      <w:r>
        <w:rPr>
          <w:rFonts w:ascii="Times New Roman CYR" w:hAnsi="Times New Roman CYR" w:cs="Times New Roman CYR"/>
          <w:sz w:val="24"/>
          <w:szCs w:val="24"/>
        </w:rPr>
        <w:tab/>
        <w:t>м. Київ, вул. Саперно-Слобiдська, 22</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Фактична  адреса:</w:t>
      </w:r>
      <w:r>
        <w:rPr>
          <w:rFonts w:ascii="Times New Roman CYR" w:hAnsi="Times New Roman CYR" w:cs="Times New Roman CYR"/>
          <w:sz w:val="24"/>
          <w:szCs w:val="24"/>
        </w:rPr>
        <w:tab/>
        <w:t>м. Київ, вул. Саперно-Слобiдська, 22</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реєстрацiї</w:t>
      </w:r>
      <w:r>
        <w:rPr>
          <w:rFonts w:ascii="Times New Roman CYR" w:hAnsi="Times New Roman CYR" w:cs="Times New Roman CYR"/>
          <w:sz w:val="24"/>
          <w:szCs w:val="24"/>
        </w:rPr>
        <w:tab/>
        <w:t>10 березня 1995 р</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Адреса вебсайта</w:t>
      </w:r>
      <w:r>
        <w:rPr>
          <w:rFonts w:ascii="Times New Roman CYR" w:hAnsi="Times New Roman CYR" w:cs="Times New Roman CYR"/>
          <w:sz w:val="24"/>
          <w:szCs w:val="24"/>
        </w:rPr>
        <w:tab/>
        <w:t>http://www.satis.kiev.ua</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Види дiяльностi згiдно з ЄДРПОУ  </w:t>
      </w:r>
      <w:r>
        <w:rPr>
          <w:rFonts w:ascii="Times New Roman CYR" w:hAnsi="Times New Roman CYR" w:cs="Times New Roman CYR"/>
          <w:sz w:val="24"/>
          <w:szCs w:val="24"/>
        </w:rPr>
        <w:tab/>
        <w:t xml:space="preserve">Страхування, перестрахування та здiйснення фiнансової дiяльностi, пов'язаної iз формуванням, розмiщенням страхових резервiв та їх управлiнням.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Реєстрацiйний номер присвоєний Нацкомфiнпослуг</w:t>
      </w:r>
      <w:r>
        <w:rPr>
          <w:rFonts w:ascii="Times New Roman CYR" w:hAnsi="Times New Roman CYR" w:cs="Times New Roman CYR"/>
          <w:sz w:val="24"/>
          <w:szCs w:val="24"/>
        </w:rPr>
        <w:tab/>
        <w:t>11100884</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Iдентифiкацiйний код</w:t>
      </w:r>
      <w:r>
        <w:rPr>
          <w:rFonts w:ascii="Times New Roman CYR" w:hAnsi="Times New Roman CYR" w:cs="Times New Roman CYR"/>
          <w:sz w:val="24"/>
          <w:szCs w:val="24"/>
        </w:rPr>
        <w:t xml:space="preserve"> за ЄДРПОУ</w:t>
      </w:r>
      <w:r>
        <w:rPr>
          <w:rFonts w:ascii="Times New Roman CYR" w:hAnsi="Times New Roman CYR" w:cs="Times New Roman CYR"/>
          <w:sz w:val="24"/>
          <w:szCs w:val="24"/>
        </w:rPr>
        <w:tab/>
        <w:t>22963118</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Банкiвськi реквiзити</w:t>
      </w:r>
      <w:r>
        <w:rPr>
          <w:rFonts w:ascii="Times New Roman CYR" w:hAnsi="Times New Roman CYR" w:cs="Times New Roman CYR"/>
          <w:sz w:val="24"/>
          <w:szCs w:val="24"/>
        </w:rPr>
        <w:tab/>
        <w:t>ПАТ КБ "ПРИВАТБАНК"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МФО 305299</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р/р. UA593052990000026505046200629</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Документи ,що пiдтверджують право на здiйснення вiдповiдних видiв страхування:    </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569052 вiд 08.12.2010 року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569053 в</w:t>
      </w:r>
      <w:r>
        <w:rPr>
          <w:rFonts w:ascii="Times New Roman CYR" w:hAnsi="Times New Roman CYR" w:cs="Times New Roman CYR"/>
          <w:sz w:val="24"/>
          <w:szCs w:val="24"/>
        </w:rPr>
        <w:t>iд 08.12.2010 року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569054 вiд 08.12.2010 року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569055 вiд 08.12.2010 року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569056 вiд 08.12.2010 року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569057 вiд 08.12.2010 року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569058 вiд 08.12.2010 року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569059 вiд 08.12.2010 року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569060 вiд 08.12.2010 року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569061 вiд 08.12.2010 року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Основи подання фiнансової звiтностi.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2.1. Достовiрне подання та вiдповiднiсть МСФЗ. Фiнансова звiтнiсть Товариства є фiна</w:t>
      </w:r>
      <w:r>
        <w:rPr>
          <w:rFonts w:ascii="Times New Roman CYR" w:hAnsi="Times New Roman CYR" w:cs="Times New Roman CYR"/>
          <w:sz w:val="24"/>
          <w:szCs w:val="24"/>
        </w:rPr>
        <w:t>нсовою звiтнiстю загального призначення, яка сформована з метою достовiрно подання фiнансового стану, фiнансових результатiв дiяльностi та грошових потокiв Товариства для задоволення iнформацiйних потреб широкого кола користувачiв при прийняттi ними економ</w:t>
      </w:r>
      <w:r>
        <w:rPr>
          <w:rFonts w:ascii="Times New Roman CYR" w:hAnsi="Times New Roman CYR" w:cs="Times New Roman CYR"/>
          <w:sz w:val="24"/>
          <w:szCs w:val="24"/>
        </w:rPr>
        <w:t xml:space="preserve">iчних рiшень.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Концептуальною основою фiнансової звiтностi Товариства за звiтний перiод, що закiнчився 31 грудня 2022 року, є Мiжнароднi стандарти фiнансової звiтностi (МСФЗ), включаючи Мiжнароднi стандарти бухгалтерського облiку (МСБО) та Тлумачення (КТМ</w:t>
      </w:r>
      <w:r>
        <w:rPr>
          <w:rFonts w:ascii="Times New Roman CYR" w:hAnsi="Times New Roman CYR" w:cs="Times New Roman CYR"/>
          <w:sz w:val="24"/>
          <w:szCs w:val="24"/>
        </w:rPr>
        <w:t>ФЗ, ПКТ), виданi Радою з Мiжнародних стандартiв бухгалтерського облiку (РМСБО), в редакцiї чиннiй на 01 сiчня 2022 року, що офiцiйно оприлюдненнi на веб-сайтi Мiнiстерства фiнансiв України.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Пiдготовлена Товариством фiнансова звiтнiсть чiтко та без будь-як</w:t>
      </w:r>
      <w:r>
        <w:rPr>
          <w:rFonts w:ascii="Times New Roman CYR" w:hAnsi="Times New Roman CYR" w:cs="Times New Roman CYR"/>
          <w:sz w:val="24"/>
          <w:szCs w:val="24"/>
        </w:rPr>
        <w:t>их застережень вiдповiдає всiм вимогам чинних МСФЗ з врахуванням змiн, внесених РМСБО станом на 01 сiчня 2022 року, дотримання яких забезпечує достовiрне подання iнформацiї в фiнансовiй звiтностi, а саме, доречної, достовiрної, зiставної та зрозумiлої iнфо</w:t>
      </w:r>
      <w:r>
        <w:rPr>
          <w:rFonts w:ascii="Times New Roman CYR" w:hAnsi="Times New Roman CYR" w:cs="Times New Roman CYR"/>
          <w:sz w:val="24"/>
          <w:szCs w:val="24"/>
        </w:rPr>
        <w:t>рмацiї.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формуваннi фiнансової звiтностi Товариство керувалося також вимогами нацiональних законодавчих та нормативних актiв щодо органiзацiї i ведення бухгалтерського облiку та складання фiнансової звiтностi в Українi, якi непротиворiчать вимогам МСФЗ</w:t>
      </w:r>
      <w:r>
        <w:rPr>
          <w:rFonts w:ascii="Times New Roman CYR" w:hAnsi="Times New Roman CYR" w:cs="Times New Roman CYR"/>
          <w:sz w:val="24"/>
          <w:szCs w:val="24"/>
        </w:rPr>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2.2. Сутнiсть i вплив нових стандартiв МСФЗ. Прийнята облiкова полiтика Товариством в перiод пiдготовки фiнансової звiтностi вiдповiдає облiковiй полiтицi, що застосовувалася при пiдготовцi фiнансової звiтностi за 2022 рiк, що закiнчився 31 грудня 202</w:t>
      </w:r>
      <w:r>
        <w:rPr>
          <w:rFonts w:ascii="Times New Roman CYR" w:hAnsi="Times New Roman CYR" w:cs="Times New Roman CYR"/>
          <w:sz w:val="24"/>
          <w:szCs w:val="24"/>
        </w:rPr>
        <w:t>2 року, за винятком прийняття нових стандартiв та iнтерпретацiй, якi набрали чинностi з 1 сiчня 2022 року. Товариство  не прийняла достроково будь-який iнший стандарт, iнтерпретацiї або поправки, якi були випущеннi, але ще не вступили в силу. Iнформацiя пр</w:t>
      </w:r>
      <w:r>
        <w:rPr>
          <w:rFonts w:ascii="Times New Roman CYR" w:hAnsi="Times New Roman CYR" w:cs="Times New Roman CYR"/>
          <w:sz w:val="24"/>
          <w:szCs w:val="24"/>
        </w:rPr>
        <w:t xml:space="preserve">о характер i вплив цих змiн розкрита нижче.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Запровадження нових або переглянутих стандартiв та iнтерпретацiй.</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 1 сiчня 2022 року набули чинностi такi змiни стандартiв :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Виручка, отримана до початку запланованого використання активу,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Обтяжливi  договори - вартiсть виконання договору,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Посилання на Концептуальну основу - змiни обмеженої сфери застосування до МСБО 16, МСБО 37 та МСФЗ 3, i Щорiчнi удосконалення МСФЗ 2018-2020 рокiв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змiни МСФЗ 1, МСФЗ 9,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16 та МСБО 41 (опублiк</w:t>
      </w:r>
      <w:r>
        <w:rPr>
          <w:rFonts w:ascii="Times New Roman CYR" w:hAnsi="Times New Roman CYR" w:cs="Times New Roman CYR"/>
          <w:sz w:val="24"/>
          <w:szCs w:val="24"/>
        </w:rPr>
        <w:t>ованi 14 травня 2020 року i вступають у силу для рiчних перiодiв, якi починаються з 1 сiчня 2022 року або пiсля цiєї дати).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Змiна МСБО 16 "Основнi засоби"  забороняє организациям вираховувати з вырост обката основних засобiв будь-яку виручку, отриману в</w:t>
      </w:r>
      <w:r>
        <w:rPr>
          <w:rFonts w:ascii="Times New Roman CYR" w:hAnsi="Times New Roman CYR" w:cs="Times New Roman CYR"/>
          <w:sz w:val="24"/>
          <w:szCs w:val="24"/>
        </w:rPr>
        <w:t>iд продажу готової продукцiї, виготовленої протягом перiоду пiдготовки органiзацiєю цього активу до запланованого використання.  Виручка вiд продажу такої готової продукцiї разом iз витратами на її виробництво наразi визнається у складi прибутку чи збитку.</w:t>
      </w:r>
      <w:r>
        <w:rPr>
          <w:rFonts w:ascii="Times New Roman CYR" w:hAnsi="Times New Roman CYR" w:cs="Times New Roman CYR"/>
          <w:sz w:val="24"/>
          <w:szCs w:val="24"/>
        </w:rPr>
        <w:t xml:space="preserve">  Для оцiнки собiвартостi цих виробiв суб'єкт господарювання застосовує МСБО 2. Собiвартiсть не включатиме амортизацiю активу, який тестується, оскiльки вiн не готовий до його запланованого використання.  Змiни МСБО 16 також роз'яснюють, що суб'єкт господа</w:t>
      </w:r>
      <w:r>
        <w:rPr>
          <w:rFonts w:ascii="Times New Roman CYR" w:hAnsi="Times New Roman CYR" w:cs="Times New Roman CYR"/>
          <w:sz w:val="24"/>
          <w:szCs w:val="24"/>
        </w:rPr>
        <w:t>рювання "тестує актив на предмет його належного функцiонування", коли вiн оцiнює технiчну та фiзичну продуктивнiсть активу.  Фiнансовi показники такого активу не мають значення для цiєї оцiнки. Отже, актив може функцiонувати вiдповiдно до намiрiв керiвницт</w:t>
      </w:r>
      <w:r>
        <w:rPr>
          <w:rFonts w:ascii="Times New Roman CYR" w:hAnsi="Times New Roman CYR" w:cs="Times New Roman CYR"/>
          <w:sz w:val="24"/>
          <w:szCs w:val="24"/>
        </w:rPr>
        <w:t>ва та пiдлягати амортизацiї до того, як вiн досягне очiкуваного керiвництвом рiвня операцiйної дiяльностi.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МСБО 37 "Забезпечення, непередбаченi зобов'язання та непередбаченi активи"  роз'яснюють значення "витрати на виконання контракту".  Змiна пояснює, що прямi витрати на виконання договору включають додатковi витрати на виконання такого договору та розп</w:t>
      </w:r>
      <w:r>
        <w:rPr>
          <w:rFonts w:ascii="Times New Roman CYR" w:hAnsi="Times New Roman CYR" w:cs="Times New Roman CYR"/>
          <w:sz w:val="24"/>
          <w:szCs w:val="24"/>
        </w:rPr>
        <w:t>одiл iнших витрат, якi безпосередньо пов'язанi з виконанням договору.  Змiна також роз'яснює, що до створення окремого резерву пiд обтяжливий договiр органiзацiя визнає весь збиток вiд знецiнення активiв, використаних у ходi виконання договору, а не активi</w:t>
      </w:r>
      <w:r>
        <w:rPr>
          <w:rFonts w:ascii="Times New Roman CYR" w:hAnsi="Times New Roman CYR" w:cs="Times New Roman CYR"/>
          <w:sz w:val="24"/>
          <w:szCs w:val="24"/>
        </w:rPr>
        <w:t>в, призначених для виконання договору.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3 "Об'єднання бiзнесу" було змiнено шляхом включення до нього посилання на Концептуальну основу фiнансової звiтностi 2018 року, яка дозволяє визначити, що являє собою актив або зобов'язання при об'єднаннi бiзнес</w:t>
      </w:r>
      <w:r>
        <w:rPr>
          <w:rFonts w:ascii="Times New Roman CYR" w:hAnsi="Times New Roman CYR" w:cs="Times New Roman CYR"/>
          <w:sz w:val="24"/>
          <w:szCs w:val="24"/>
        </w:rPr>
        <w:t>у. До цiєї змiни МСФЗ 3 включав посилання на Концептуальну основу фiнансової звiтностi 2001 року.  Крiм того, в МСФЗ 3 додано нове виключення щодо зобов'язань та умовних зобов'язань. Це виключення передбачає, що вiдносно певних категорiй зобов'язань та умо</w:t>
      </w:r>
      <w:r>
        <w:rPr>
          <w:rFonts w:ascii="Times New Roman CYR" w:hAnsi="Times New Roman CYR" w:cs="Times New Roman CYR"/>
          <w:sz w:val="24"/>
          <w:szCs w:val="24"/>
        </w:rPr>
        <w:t>вних зобов'язань органiзацiя, яка застосовує МСФЗ 3, повинна посилатися на МСБО 37 або на Роз'яснення КIМФЗ 21, а не на Концептуальну основу фiнансової звiтностi 2018 року.  Без цього нового виключення органiзацiї довелося б визнавати певнi зобов'язання пр</w:t>
      </w:r>
      <w:r>
        <w:rPr>
          <w:rFonts w:ascii="Times New Roman CYR" w:hAnsi="Times New Roman CYR" w:cs="Times New Roman CYR"/>
          <w:sz w:val="24"/>
          <w:szCs w:val="24"/>
        </w:rPr>
        <w:t>и об'єднаннi бiзнесу, якi вона не визнавала б вiдповiдно до МСБО 37. Отже, одразу пiсля придбання органiзацiя повинна була б припинити визнання таких зобов'язань i визнати дохiд, який не вiдображає економiчну вигоду.  Також було роз'яснено, що органiзацiя-</w:t>
      </w:r>
      <w:r>
        <w:rPr>
          <w:rFonts w:ascii="Times New Roman CYR" w:hAnsi="Times New Roman CYR" w:cs="Times New Roman CYR"/>
          <w:sz w:val="24"/>
          <w:szCs w:val="24"/>
        </w:rPr>
        <w:t>покупець не зобов'язана визнавати умовнi активи вiдповiдно до визначення МСБО 37 на дату придбання.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Змiна МСФЗ 9 розглядає питання про те, якi платежi слiд включати до "10%-го тестування" для припинення визнання фiнансових зобов'язань. Витрати чи платеж</w:t>
      </w:r>
      <w:r>
        <w:rPr>
          <w:rFonts w:ascii="Times New Roman CYR" w:hAnsi="Times New Roman CYR" w:cs="Times New Roman CYR"/>
          <w:sz w:val="24"/>
          <w:szCs w:val="24"/>
        </w:rPr>
        <w:t>i можуть здiйснюватися на користь третiх сторiн або кредитора. Згiдно зi змiнами, витрати або комiсiї, сплаченi третiм сторонам, не включаються до "тесту 10%".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Внесено змiни до iлюстративного прикладу 13 до МСФЗ 16: виключено приклад платежiв орендодавця,</w:t>
      </w:r>
      <w:r>
        <w:rPr>
          <w:rFonts w:ascii="Times New Roman CYR" w:hAnsi="Times New Roman CYR" w:cs="Times New Roman CYR"/>
          <w:sz w:val="24"/>
          <w:szCs w:val="24"/>
        </w:rPr>
        <w:t xml:space="preserve"> якi стосуються удосконалень орендованого майна.  Цю змiну внесено для того, щоб уникнути потенцiйної невизначеностi щодо методу облiку пiльгових умов за орендою.</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1 дозволяє застосовувати звiльнення, якщо дочiрня компанiя починає застосовувати МСФЗ</w:t>
      </w:r>
      <w:r>
        <w:rPr>
          <w:rFonts w:ascii="Times New Roman CYR" w:hAnsi="Times New Roman CYR" w:cs="Times New Roman CYR"/>
          <w:sz w:val="24"/>
          <w:szCs w:val="24"/>
        </w:rPr>
        <w:t xml:space="preserve"> з пiзнiшої дати, нiж її материнська компанiя.  Дочiрня компанiя може оцiнювати свої активи та зобов'язання за балансовою вартiстю, яка була б включена до консолiдованої фiнансової звiтностi материнської компанiї з урахуванням дати переходу материнської ко</w:t>
      </w:r>
      <w:r>
        <w:rPr>
          <w:rFonts w:ascii="Times New Roman CYR" w:hAnsi="Times New Roman CYR" w:cs="Times New Roman CYR"/>
          <w:sz w:val="24"/>
          <w:szCs w:val="24"/>
        </w:rPr>
        <w:t>мпанiї на облiк за МСФЗ, якби не здiйснювалося коригувань на процедури консолiдацiї та на вплив операцiї з об'єднання бiзнесу, в межах якої материнська компанiя придбала дочiрню компанiю.  Змiна МСФЗ 1 дозволяє органiзацiям, якi застосували це звiльнення з</w:t>
      </w:r>
      <w:r>
        <w:rPr>
          <w:rFonts w:ascii="Times New Roman CYR" w:hAnsi="Times New Roman CYR" w:cs="Times New Roman CYR"/>
          <w:sz w:val="24"/>
          <w:szCs w:val="24"/>
        </w:rPr>
        <w:t>а МСФЗ 1, також оцiнювати накопиченi курсовi рiзницi iз використанням числових значень показникiв, вiдображених материнською компанiєю, на основi дати переходу материнської компанiї на облiк за МСФЗ.  Змiни МСФЗ 1 поширюють зазначене вище звiльнення на кум</w:t>
      </w:r>
      <w:r>
        <w:rPr>
          <w:rFonts w:ascii="Times New Roman CYR" w:hAnsi="Times New Roman CYR" w:cs="Times New Roman CYR"/>
          <w:sz w:val="24"/>
          <w:szCs w:val="24"/>
        </w:rPr>
        <w:t>улятивнi курсовi рiзницi з метою скорочення витрат для компанiй, якi застосовують МСФЗ вперше. Ця змiна застосовується також для асоцiйованих компанiй та спiльних пiдприємств, якi скористалися цим передбаченим МСФЗ 1 звiльненням.</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Вимога, згiдно з якою к</w:t>
      </w:r>
      <w:r>
        <w:rPr>
          <w:rFonts w:ascii="Times New Roman CYR" w:hAnsi="Times New Roman CYR" w:cs="Times New Roman CYR"/>
          <w:sz w:val="24"/>
          <w:szCs w:val="24"/>
        </w:rPr>
        <w:t>омпанiї мали виключати грошовi потоки, пов'язанi з оподаткуванням, при оцiнцi справедливої вартостi згiдно з МСБО 41, була скасована. Ця змiна має забезпечити вiдповiднiсть вимозi, яка мiститься у стандартi, щодо дисконтування грошових потокiв пiсля оподат</w:t>
      </w:r>
      <w:r>
        <w:rPr>
          <w:rFonts w:ascii="Times New Roman CYR" w:hAnsi="Times New Roman CYR" w:cs="Times New Roman CYR"/>
          <w:sz w:val="24"/>
          <w:szCs w:val="24"/>
        </w:rPr>
        <w:t xml:space="preserve">кування.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Застосування цих змiн не мало значного впливу на фiнансову звiтнiсть Компанiї.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думку Керiвництва Товариства, зазначенi змiни не мали впливу на рiчну фiнансову звiтнiсть Товариства.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Щорiчнi поправки в МСФЗ (2018-2020): МСФЗ (IFRS) 1 Дочiрнє пiдприємство, яке уперше застосувало МСФЗ. Поправка дозволяє дочiрньому пiдприємству, що застосовує IFRS 1: D16 (a) (яке переходить на МСФЗ пiзнiше своєї материнської компанiї), виконати оцiн</w:t>
      </w:r>
      <w:r>
        <w:rPr>
          <w:rFonts w:ascii="Times New Roman CYR" w:hAnsi="Times New Roman CYR" w:cs="Times New Roman CYR"/>
          <w:sz w:val="24"/>
          <w:szCs w:val="24"/>
        </w:rPr>
        <w:t>ку накопиченого ефекту курсових рiзниць у складi iншого сукупного доходу - на пiдставi такої оцiнки, виконаної материнською компанiєю на дату її переходу на МСФЗ.</w:t>
      </w:r>
      <w:r>
        <w:rPr>
          <w:rFonts w:ascii="Times New Roman CYR" w:hAnsi="Times New Roman CYR" w:cs="Times New Roman CYR"/>
          <w:sz w:val="24"/>
          <w:szCs w:val="24"/>
        </w:rPr>
        <w:tab/>
        <w:t>Дата застосування  01.01.2022.  Дозволяється дострокове застосування. Данi змiни  не впливают</w:t>
      </w:r>
      <w:r>
        <w:rPr>
          <w:rFonts w:ascii="Times New Roman CYR" w:hAnsi="Times New Roman CYR" w:cs="Times New Roman CYR"/>
          <w:sz w:val="24"/>
          <w:szCs w:val="24"/>
        </w:rPr>
        <w:t>ь на фiнансову звiтнiсть Компанiї.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Щорiчнi поправки в МСФЗ (2018-2020): МСФЗ (IFRS) 9 Комiсiйна винагорода, що включається в "10-вiдсотковий" тест при припиненнi визнання фiнансових зобов'язань. Поправка уточнює характер такої комiсiйної винагороди -</w:t>
      </w:r>
      <w:r>
        <w:rPr>
          <w:rFonts w:ascii="Times New Roman CYR" w:hAnsi="Times New Roman CYR" w:cs="Times New Roman CYR"/>
          <w:sz w:val="24"/>
          <w:szCs w:val="24"/>
        </w:rPr>
        <w:t xml:space="preserve"> воно включає тiльки винагороду, сплачене мiж позикодавцем i позико отримувачем, включаючи винагороду, сплачене або отримане вiд особи iнших сторiн. Дата застосування  01.01.2022.  Дозволяється дострокове застосування. Данi змiни  не впливають на фiнансову</w:t>
      </w:r>
      <w:r>
        <w:rPr>
          <w:rFonts w:ascii="Times New Roman CYR" w:hAnsi="Times New Roman CYR" w:cs="Times New Roman CYR"/>
          <w:sz w:val="24"/>
          <w:szCs w:val="24"/>
        </w:rPr>
        <w:t xml:space="preserve"> звiтнiсть Компанiї.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Щорiчнi поправки в МСФЗ (2018-2020): МСФЗ (IFRS) 16  Стимулюючi платежi по орендi. Поправка уточнює iлюстративний приклад № 13 до МСФЗ (IFRS) 16 шляхом виключення прикладу урахування вiдшкодування, отриманого орендарем вiд оренд</w:t>
      </w:r>
      <w:r>
        <w:rPr>
          <w:rFonts w:ascii="Times New Roman CYR" w:hAnsi="Times New Roman CYR" w:cs="Times New Roman CYR"/>
          <w:sz w:val="24"/>
          <w:szCs w:val="24"/>
        </w:rPr>
        <w:t>одавця в якостi компенсацiї за понесенi витрати на полiпшення об'єкта оренди.</w:t>
      </w:r>
      <w:r>
        <w:rPr>
          <w:rFonts w:ascii="Times New Roman CYR" w:hAnsi="Times New Roman CYR" w:cs="Times New Roman CYR"/>
          <w:sz w:val="24"/>
          <w:szCs w:val="24"/>
        </w:rPr>
        <w:tab/>
        <w:t>Дата застосування  01.01.2022.  Дозволяється дострокове застосування. Данi змiни  не впливають на фiнансову звiтнiсть Компанiї.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Щорiчнi поправки в МСФЗ (2018-2020): МСБО (I</w:t>
      </w:r>
      <w:r>
        <w:rPr>
          <w:rFonts w:ascii="Times New Roman CYR" w:hAnsi="Times New Roman CYR" w:cs="Times New Roman CYR"/>
          <w:sz w:val="24"/>
          <w:szCs w:val="24"/>
        </w:rPr>
        <w:t>AS) 41 Ефекти оподаткування при визначеннi справедливої вартостi. Поправка виключає вимогу IAS 41:22, яка вказує, що потоки грошових коштiв, пов'язанi з оподаткуванням, не включаються до розрахункiв справедливої вартостi бiологiчних активiв. Поправка призв</w:t>
      </w:r>
      <w:r>
        <w:rPr>
          <w:rFonts w:ascii="Times New Roman CYR" w:hAnsi="Times New Roman CYR" w:cs="Times New Roman CYR"/>
          <w:sz w:val="24"/>
          <w:szCs w:val="24"/>
        </w:rPr>
        <w:t>одить до вiдповiдностi IAS 41 i IFRS 13.</w:t>
      </w:r>
      <w:r>
        <w:rPr>
          <w:rFonts w:ascii="Times New Roman CYR" w:hAnsi="Times New Roman CYR" w:cs="Times New Roman CYR"/>
          <w:sz w:val="24"/>
          <w:szCs w:val="24"/>
        </w:rPr>
        <w:tab/>
        <w:t>Дата застосування  01.01.2022.  Дозволяється дострокове застосування. Данi змiни  не впливають на фiнансову звiтнiсть Компанiї.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МСБО 1 "Подання фiнансової звiтностi" Поправки роз'яснюють критерiй у МСБО 1 для</w:t>
      </w:r>
      <w:r>
        <w:rPr>
          <w:rFonts w:ascii="Times New Roman CYR" w:hAnsi="Times New Roman CYR" w:cs="Times New Roman CYR"/>
          <w:sz w:val="24"/>
          <w:szCs w:val="24"/>
        </w:rPr>
        <w:t xml:space="preserve"> класифiкацiї зобов'язання як довгострокового: вимога до суб'єкта господарювання мати право вiдкласти погашення зобов'язання принаймнi на 12 мiсяцiв пiсля звiтного перiоду.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Сутнiсть поправок: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уточнено, що зобов'язання класифiкується як довгострокове, я</w:t>
      </w:r>
      <w:r>
        <w:rPr>
          <w:rFonts w:ascii="Times New Roman CYR" w:hAnsi="Times New Roman CYR" w:cs="Times New Roman CYR"/>
          <w:sz w:val="24"/>
          <w:szCs w:val="24"/>
        </w:rPr>
        <w:t>кщо у органiзацiї є право вiдстрочити врегулювання зобов'язання щонайменше на 12 мiсяцiв, а право компанiї на вiдстрочку розрахункiв має iснувати на кiнець звiтного перiоду;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класифiкацiя залежить тiльки вiн наявностi такого права i не залежить вiд iмовi</w:t>
      </w:r>
      <w:r>
        <w:rPr>
          <w:rFonts w:ascii="Times New Roman CYR" w:hAnsi="Times New Roman CYR" w:cs="Times New Roman CYR"/>
          <w:sz w:val="24"/>
          <w:szCs w:val="24"/>
        </w:rPr>
        <w:t>рностi того, чи планує компанiя скористатися цим правом - на класифiкацiю не впливають намiри чи очiкування керiвництва щодо того, чи компанiя  реалiзує своє право на вiдстрочку розрахункiв;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роз'яснення впливу умов кредитування на класифiкацiю  - якщо п</w:t>
      </w:r>
      <w:r>
        <w:rPr>
          <w:rFonts w:ascii="Times New Roman CYR" w:hAnsi="Times New Roman CYR" w:cs="Times New Roman CYR"/>
          <w:sz w:val="24"/>
          <w:szCs w:val="24"/>
        </w:rPr>
        <w:t>раво вiдстрочити врегулювання зобов'язання залежить вiд виконання органiзацiєю певних умов, то дане право iснує на дату закiнчення звiтного перiоду тiльки в тому випадку, якщо органiзацiя виконала цi умови на дату закiнчення звiтного перiоду. Органiзацiя п</w:t>
      </w:r>
      <w:r>
        <w:rPr>
          <w:rFonts w:ascii="Times New Roman CYR" w:hAnsi="Times New Roman CYR" w:cs="Times New Roman CYR"/>
          <w:sz w:val="24"/>
          <w:szCs w:val="24"/>
        </w:rPr>
        <w:t>овинна виконати цi умови на дату закiнчення звiтного перiоду, навiть якщо перевiрка їх виконання здiйснюється кредитором пiзнiше; 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роз'яснення вимог до класифiкацiї зобов'язань, якi компанiя може або може погасити шляхом випуску власних iнструментiв влас</w:t>
      </w:r>
      <w:r>
        <w:rPr>
          <w:rFonts w:ascii="Times New Roman CYR" w:hAnsi="Times New Roman CYR" w:cs="Times New Roman CYR"/>
          <w:sz w:val="24"/>
          <w:szCs w:val="24"/>
        </w:rPr>
        <w:t>ного капiталу.</w:t>
      </w:r>
      <w:r>
        <w:rPr>
          <w:rFonts w:ascii="Times New Roman CYR" w:hAnsi="Times New Roman CYR" w:cs="Times New Roman CYR"/>
          <w:sz w:val="24"/>
          <w:szCs w:val="24"/>
        </w:rPr>
        <w:tab/>
        <w:t>Дата застосування  1 сiчня 2023 року: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Змiни до МСБО (IAS) 1 "Подання фiнансової звiтностi" - Поправки роз'яснюють критерiй у МСБО 1 для класифiкацiї зобов'язання як довгострокового: вимога до суб'єкта господарювання мати право вiдкласти п</w:t>
      </w:r>
      <w:r>
        <w:rPr>
          <w:rFonts w:ascii="Times New Roman CYR" w:hAnsi="Times New Roman CYR" w:cs="Times New Roman CYR"/>
          <w:sz w:val="24"/>
          <w:szCs w:val="24"/>
        </w:rPr>
        <w:t>огашення зобов'язання принаймнi на 12 мiсяцiв пiсля звiтного перiоду.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-Змiни до МСБО (IAS) 1 "Подання фiнансової звiтностi", до Практичних рекомендацiй № 2 з МСФЗ "Формування суджень щодо суттєвостi";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Дозволяється дострокове застосування. Данi змiни</w:t>
      </w:r>
      <w:r>
        <w:rPr>
          <w:rFonts w:ascii="Times New Roman CYR" w:hAnsi="Times New Roman CYR" w:cs="Times New Roman CYR"/>
          <w:sz w:val="24"/>
          <w:szCs w:val="24"/>
        </w:rPr>
        <w:t xml:space="preserve">  не впливають на фiнансову звiтнiсть Компанiї.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МСФЗ 17 Страховi контракти </w:t>
      </w:r>
      <w:r>
        <w:rPr>
          <w:rFonts w:ascii="Times New Roman CYR" w:hAnsi="Times New Roman CYR" w:cs="Times New Roman CYR"/>
          <w:sz w:val="24"/>
          <w:szCs w:val="24"/>
        </w:rPr>
        <w:tab/>
        <w:t>Виключення деяких видiв договорiв зi сфери застосування МСФЗ 17</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Спрощене подання активiв i зобов'язань, пов'язаних з договорами страхування в звiтi про фiнансовий стан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Вплив облiкових оцiнок, зроблених в попереднiх промiжнiй  фiнансовiй звiтностi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Визнання i розподiл аквiзацiйних  грошових потокiв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Змiна у визнаннi вiдшкодування за договорами перестрахування в звiтi про прибутки i збитки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Розподiл маржi за передб</w:t>
      </w:r>
      <w:r>
        <w:rPr>
          <w:rFonts w:ascii="Times New Roman CYR" w:hAnsi="Times New Roman CYR" w:cs="Times New Roman CYR"/>
          <w:sz w:val="24"/>
          <w:szCs w:val="24"/>
        </w:rPr>
        <w:t>аченi договором страхування iнвестицiйнi послуги (CSM)</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Можливiсть зниження фiнансового ризику для договорiв вхiдного перестрахування i непохiдних фiнансових iнструментiв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Перенесення дати вступу в силу МСФЗ 17, а також продовження перiоду звiльнення в</w:t>
      </w:r>
      <w:r>
        <w:rPr>
          <w:rFonts w:ascii="Times New Roman CYR" w:hAnsi="Times New Roman CYR" w:cs="Times New Roman CYR"/>
          <w:sz w:val="24"/>
          <w:szCs w:val="24"/>
        </w:rPr>
        <w:t>iд застосування МСФЗ (IFRS) 9 для страхових компанiй до 1 сiчня 2023 року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Спрощений облiк зобов'язань по врегулюванню збиткiв за договорами, якi виникли до дати переходу на МСФЗ 17</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Послаблення в застосуваннi технiк для зниження фiнансового ризику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w:t>
      </w:r>
      <w:r>
        <w:rPr>
          <w:rFonts w:ascii="Times New Roman CYR" w:hAnsi="Times New Roman CYR" w:cs="Times New Roman CYR"/>
          <w:sz w:val="24"/>
          <w:szCs w:val="24"/>
        </w:rPr>
        <w:t>жливiсть визначення iнвестицiйного договору з умовами дискрецiйного участi в момент переходу на новий стандарт, нiж в момент виникнення договору</w:t>
      </w:r>
      <w:r>
        <w:rPr>
          <w:rFonts w:ascii="Times New Roman CYR" w:hAnsi="Times New Roman CYR" w:cs="Times New Roman CYR"/>
          <w:sz w:val="24"/>
          <w:szCs w:val="24"/>
        </w:rPr>
        <w:tab/>
        <w:t>Дата застосування  01.01.2023.  Керiвництво вивчає вплив зазначених змiн  на фiнансову звiтнiсть  Товариства.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Новi положення бухгалтерського облiку.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Були випущенi окремi новi стандарти та iнтерпретацiї, якi є обов'язковими до застосування у рiчних перiодах, що починаються з 1 сiчня 2023 року або пiсля цiєї дати, i якi не були достроково застосованi Групою.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Вiдстроченi податки, пов'язанi з активами та зобов'язаннями, що виникають за однiєю операцiєю, - змiни МСБО 12 (опублiкованi 7 травня 2021 року i вступають у силу для рiчних перiодiв, якi починаються з 1 сiчня 2023 року або пiсля цiєї дати).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Змiни МСБО </w:t>
      </w:r>
      <w:r>
        <w:rPr>
          <w:rFonts w:ascii="Times New Roman CYR" w:hAnsi="Times New Roman CYR" w:cs="Times New Roman CYR"/>
          <w:sz w:val="24"/>
          <w:szCs w:val="24"/>
        </w:rPr>
        <w:t>12 стосуються облiку вiдстроченого податку за такими операцiями, як оренда та зобов'язання з виведення активiв з експлуатацiї. У певних випадках органiзацiї звiльняються вiд вимоги визнавати вiдстрочений податок, коли вони вперше визнають активи або зобов'</w:t>
      </w:r>
      <w:r>
        <w:rPr>
          <w:rFonts w:ascii="Times New Roman CYR" w:hAnsi="Times New Roman CYR" w:cs="Times New Roman CYR"/>
          <w:sz w:val="24"/>
          <w:szCs w:val="24"/>
        </w:rPr>
        <w:t>язання. Ранiше iснувала невизначенiсть щодо того, чи звiльнення стосується таких операцiй, як як оренда та зобов'язання з виведення активiв з експлуатацiї, за якими одночасно визнається актив та зобов'язання. Змiнений стандарт уточнює, що звiльнення не пош</w:t>
      </w:r>
      <w:r>
        <w:rPr>
          <w:rFonts w:ascii="Times New Roman CYR" w:hAnsi="Times New Roman CYR" w:cs="Times New Roman CYR"/>
          <w:sz w:val="24"/>
          <w:szCs w:val="24"/>
        </w:rPr>
        <w:t xml:space="preserve">ирюється на такi операцiї, i органiзацiї повиннi визнавати вiдстрочений податок за ними. Змiни вимагають вiд компанiй визнавати вiдстрочений податок за операцiями, за якими при початковому визнаннi виникають рiвнi суми тимчасових рiзниць, якi збiльшують i </w:t>
      </w:r>
      <w:r>
        <w:rPr>
          <w:rFonts w:ascii="Times New Roman CYR" w:hAnsi="Times New Roman CYR" w:cs="Times New Roman CYR"/>
          <w:sz w:val="24"/>
          <w:szCs w:val="24"/>
        </w:rPr>
        <w:t>зменшують суму оподаткування.  Наразi Компанiя  оцiнює вплив цих змiн на її фiнансову звiтнiсть.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Класифiкацiя зобов'язань як поточних або довгострокових зобов'язань - змiни МСБО 1 (опублiкованi 23 сiчня 2020 року i вступають у силу для рiчних перiодiв,</w:t>
      </w:r>
      <w:r>
        <w:rPr>
          <w:rFonts w:ascii="Times New Roman CYR" w:hAnsi="Times New Roman CYR" w:cs="Times New Roman CYR"/>
          <w:sz w:val="24"/>
          <w:szCs w:val="24"/>
        </w:rPr>
        <w:t xml:space="preserve"> якi починаються з 1 сiчня 2022 року або пiсля цiєї дати). Цi змiни обмеженої сфери застосування уточнюють, що зобов'язання класифiкуються у короткостроковi або довгостроковi залежно вiд прав, iснуючих на кiнець звiтного перiоду. Зобов'язання є довгостроко</w:t>
      </w:r>
      <w:r>
        <w:rPr>
          <w:rFonts w:ascii="Times New Roman CYR" w:hAnsi="Times New Roman CYR" w:cs="Times New Roman CYR"/>
          <w:sz w:val="24"/>
          <w:szCs w:val="24"/>
        </w:rPr>
        <w:t>вим, якщо органiзацiя має на кiнець звiтного перiоду суттєве право вiдкласти їх погашення, як мiнiмум, на 12 мiсяцiв. Роз'яснення у стандартi бiльше не вимагає, щоб таке право було безумовним. Очiкування керiвництва щодо подальшої реалiзацiї ним права вiдк</w:t>
      </w:r>
      <w:r>
        <w:rPr>
          <w:rFonts w:ascii="Times New Roman CYR" w:hAnsi="Times New Roman CYR" w:cs="Times New Roman CYR"/>
          <w:sz w:val="24"/>
          <w:szCs w:val="24"/>
        </w:rPr>
        <w:t>ласти розрахунок не впливають на класифiкацiю зобов'язань. Право вiдкласти розрахунок iснує виключно тодi, коли суб'єкт господарювання дотримується вiдповiдних умов станом на кiнець звiтного перiоду. Зобов'язання класифiкується як поточне зобов'язання, якщ</w:t>
      </w:r>
      <w:r>
        <w:rPr>
          <w:rFonts w:ascii="Times New Roman CYR" w:hAnsi="Times New Roman CYR" w:cs="Times New Roman CYR"/>
          <w:sz w:val="24"/>
          <w:szCs w:val="24"/>
        </w:rPr>
        <w:t>о умову не дотримано станом на або перед звiтною датою, навiть якщо вiд кредитора отримано звiльнення вiд виконання умови пiсля закiнчення звiтного перiоду. I навпаки, кредит класифiкується як довгострокове зобов'язання, якщо умову кредиту не дотримано тiл</w:t>
      </w:r>
      <w:r>
        <w:rPr>
          <w:rFonts w:ascii="Times New Roman CYR" w:hAnsi="Times New Roman CYR" w:cs="Times New Roman CYR"/>
          <w:sz w:val="24"/>
          <w:szCs w:val="24"/>
        </w:rPr>
        <w:t>ьки пiсля звiтної дати. Крiм того, змiни мiстять роз'яснення вимог до класифiкацiї боргових зобов'язань, якi компанiя може врегулювати за рахунок їх конвертацiї в iнструменти капiталу. Розрахунок визначається як погашення зобов'язання грошовими коштами, iн</w:t>
      </w:r>
      <w:r>
        <w:rPr>
          <w:rFonts w:ascii="Times New Roman CYR" w:hAnsi="Times New Roman CYR" w:cs="Times New Roman CYR"/>
          <w:sz w:val="24"/>
          <w:szCs w:val="24"/>
        </w:rPr>
        <w:t>шими ресурсами, якi втiлюють у собi економiчнi вигоди, або власними iнструментами капiталу суб'єкта господарювання. Передбачено виключення для конвертованих iнструментiв, якi можуть бути конвертованi у власний капiтал, але тiльки для тих iнструментiв, де о</w:t>
      </w:r>
      <w:r>
        <w:rPr>
          <w:rFonts w:ascii="Times New Roman CYR" w:hAnsi="Times New Roman CYR" w:cs="Times New Roman CYR"/>
          <w:sz w:val="24"/>
          <w:szCs w:val="24"/>
        </w:rPr>
        <w:t>пцiон на конвертацiю класифiкується як дольовий iнструмент в якостi окремого компонента комбiнованого фiнансового iнструмента. Наразi Компанiя  оцiнює вплив цих змiн на її фiнансову звiтнiсть.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Класифiкацiя зобов'язань як поточних або довгострокових зоб</w:t>
      </w:r>
      <w:r>
        <w:rPr>
          <w:rFonts w:ascii="Times New Roman CYR" w:hAnsi="Times New Roman CYR" w:cs="Times New Roman CYR"/>
          <w:sz w:val="24"/>
          <w:szCs w:val="24"/>
        </w:rPr>
        <w:t>ов'язань - перенесення дати набуття чинностi - змiни МСБО 1 (опублiкованi 15 липня 2020 року i вступають у силу для рiчних перiодiв, якi починаються з 1 сiчня 2023 року або пiсля цiєї дати). Змiни МСБО 1 щодо класифiкацiї зобов'язань як поточних або довгос</w:t>
      </w:r>
      <w:r>
        <w:rPr>
          <w:rFonts w:ascii="Times New Roman CYR" w:hAnsi="Times New Roman CYR" w:cs="Times New Roman CYR"/>
          <w:sz w:val="24"/>
          <w:szCs w:val="24"/>
        </w:rPr>
        <w:t xml:space="preserve">трокових зобов'язань були опублiкованi у сiчнi 2020 року з початковою датою набуття чинностi з 1 сiчня 2022 року. Проте у зв'язку з пандемiєю COVID-19 дату набуття чинностi було перенесено на один рiк, щоб надати органiзацiям бiльше часу для запровадження </w:t>
      </w:r>
      <w:r>
        <w:rPr>
          <w:rFonts w:ascii="Times New Roman CYR" w:hAnsi="Times New Roman CYR" w:cs="Times New Roman CYR"/>
          <w:sz w:val="24"/>
          <w:szCs w:val="24"/>
        </w:rPr>
        <w:t>змiн, пов'язаних iз класифiкацiєю, у результатi внесення змiн. Наразi Компанiя  оцiнює вплив цих змiн на її фiнансову звiтнiсть.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МСБО 8: Визначення облiкових оцiнок (опублiкованi 12 лютого 2021 року та вступають в силу для рiчних перiодiв, якi по</w:t>
      </w:r>
      <w:r>
        <w:rPr>
          <w:rFonts w:ascii="Times New Roman CYR" w:hAnsi="Times New Roman CYR" w:cs="Times New Roman CYR"/>
          <w:sz w:val="24"/>
          <w:szCs w:val="24"/>
        </w:rPr>
        <w:t xml:space="preserve">чинаються з 1 сiчня 2023 року або пiсля цiєї дати). Змiнений МСБО 8 уточнює, як компанiї повиннi вiдрiзняти змiни облiкової полiтики вiд змiн облiкових оцiнок.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Наразi Компанiя  оцiнює вплив цих змiн на її фiнансову звiтнiсть.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МСБО 1 та Практичнi</w:t>
      </w:r>
      <w:r>
        <w:rPr>
          <w:rFonts w:ascii="Times New Roman CYR" w:hAnsi="Times New Roman CYR" w:cs="Times New Roman CYR"/>
          <w:sz w:val="24"/>
          <w:szCs w:val="24"/>
        </w:rPr>
        <w:t xml:space="preserve"> рекомендацiї iз застосування МСФЗ 2: розкриття облiкової полiтики (опублiкованi 12 лютого 2021 року та вступають у силу для рiчних перiодiв, якi починаються з 1 сiчня 2023 року або пiсля цiєї дати). Змiни МСБО 1 вимагають вiд органiзацiй розкривати суттєв</w:t>
      </w:r>
      <w:r>
        <w:rPr>
          <w:rFonts w:ascii="Times New Roman CYR" w:hAnsi="Times New Roman CYR" w:cs="Times New Roman CYR"/>
          <w:sz w:val="24"/>
          <w:szCs w:val="24"/>
        </w:rPr>
        <w:t>у iнформацiю про облiкову полiтику, а не основнi положення облiкової полiтики. У змiненому стандартi наведено визначення суттєвої iнформацiї про облiкову полiтику. У змiненому стандартi також уточнюється, що iнформацiя про облiкову полiтику вважається сутт</w:t>
      </w:r>
      <w:r>
        <w:rPr>
          <w:rFonts w:ascii="Times New Roman CYR" w:hAnsi="Times New Roman CYR" w:cs="Times New Roman CYR"/>
          <w:sz w:val="24"/>
          <w:szCs w:val="24"/>
        </w:rPr>
        <w:t>євою, якщо без неї користувачi фiнансової звiтностi не змогли б зрозумiти iншу суттєву iнформацiю, наведену у фiнансовiй звiтностi.  У змiненому стандартi наведено iлюстративнi приклади iнформацiї про облiкову полiтику, яка, ймовiрно, вважатиметься суттєво</w:t>
      </w:r>
      <w:r>
        <w:rPr>
          <w:rFonts w:ascii="Times New Roman CYR" w:hAnsi="Times New Roman CYR" w:cs="Times New Roman CYR"/>
          <w:sz w:val="24"/>
          <w:szCs w:val="24"/>
        </w:rPr>
        <w:t xml:space="preserve">ю для фiнансової звiтностi органiзацiї.  Крiм того, змiнений МСБО 1 уточнює, що несуттєву iнформацiю про облiкову полiтику розкривати не потрiбно. Проте якщо вона розкривається, вона не повинна ускладнювати ознайомлення з суттєвою iнформацiєю про облiкову </w:t>
      </w:r>
      <w:r>
        <w:rPr>
          <w:rFonts w:ascii="Times New Roman CYR" w:hAnsi="Times New Roman CYR" w:cs="Times New Roman CYR"/>
          <w:sz w:val="24"/>
          <w:szCs w:val="24"/>
        </w:rPr>
        <w:t>полiтику.  У доповнення до цього змiненого стандарту були також переглянутi Практичнi рекомендацiї iз застосування МСФЗ 2, до яких було включено рекомендацiї щодо застосування концепцiї суттєвостi при розкриттi iнформацiї про облiкову полiтику. Наразi Комп</w:t>
      </w:r>
      <w:r>
        <w:rPr>
          <w:rFonts w:ascii="Times New Roman CYR" w:hAnsi="Times New Roman CYR" w:cs="Times New Roman CYR"/>
          <w:sz w:val="24"/>
          <w:szCs w:val="24"/>
        </w:rPr>
        <w:t>анiя  оцiнює вплив цих змiн на її фiнансову звiтнiсть.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17 "Договори страхування" (опублiкований 18 травня 2017 року i вступає в силу для рiчних перiодiв, якi починаються з 1 сiчня 2023 року або пiсля цiєї дати). МСФЗ 17 замiнює МСФЗ 4, який дозвол</w:t>
      </w:r>
      <w:r>
        <w:rPr>
          <w:rFonts w:ascii="Times New Roman CYR" w:hAnsi="Times New Roman CYR" w:cs="Times New Roman CYR"/>
          <w:sz w:val="24"/>
          <w:szCs w:val="24"/>
        </w:rPr>
        <w:t>яв компанiям застосовувати iснуючу практику облiку договорiв страхування. Отже, iнвесторам було складно порiвнювати i зiставляти фiнансовi результати в iнших вiдносинах аналогiчних страхових компанiй. МСФЗ 17 є єдиним основаним на принципах стандартом облi</w:t>
      </w:r>
      <w:r>
        <w:rPr>
          <w:rFonts w:ascii="Times New Roman CYR" w:hAnsi="Times New Roman CYR" w:cs="Times New Roman CYR"/>
          <w:sz w:val="24"/>
          <w:szCs w:val="24"/>
        </w:rPr>
        <w:t>ку всiх видiв договорiв страхування, включаючи договори перестрахування, наявнi у страховика. Вiдповiдно до цього стандарту, визнання i оцiнка груп договорiв страхування повиннi виконуватися за: (i) приведеною вартiстю майбутнiх грошових потокiв (грошовi п</w:t>
      </w:r>
      <w:r>
        <w:rPr>
          <w:rFonts w:ascii="Times New Roman CYR" w:hAnsi="Times New Roman CYR" w:cs="Times New Roman CYR"/>
          <w:sz w:val="24"/>
          <w:szCs w:val="24"/>
        </w:rPr>
        <w:t>отоки пiсля виконання договорiв), скоригованою з урахуванням ризику, в якiй врахована вся наявна iнформацiя про грошовi потоки пiсля виконання договорiв, яка вiдповiдає спостережуванiй ринковiй iнформацiї, плюс (якщо вартiсть є зобов'язанням) чи мiнус (якщ</w:t>
      </w:r>
      <w:r>
        <w:rPr>
          <w:rFonts w:ascii="Times New Roman CYR" w:hAnsi="Times New Roman CYR" w:cs="Times New Roman CYR"/>
          <w:sz w:val="24"/>
          <w:szCs w:val="24"/>
        </w:rPr>
        <w:t>о вартiсть є активом) (ii) сумою, яка являє собою незароблений прибуток по групi договорiв (сервiсна маржа за договорами). Страховики вiдображатимуть прибуток вiд групи договорiв страхування за перiод, протягом якого вони надають страхове покриття, i в мiр</w:t>
      </w:r>
      <w:r>
        <w:rPr>
          <w:rFonts w:ascii="Times New Roman CYR" w:hAnsi="Times New Roman CYR" w:cs="Times New Roman CYR"/>
          <w:sz w:val="24"/>
          <w:szCs w:val="24"/>
        </w:rPr>
        <w:t>у того, як вони звiльняються вiд ризику. Якщо група договорiв є чи стає збитковою, органiзацiя негайно вiдображатиме збиток. Компанiя очiкує застосувати цей стандарт до деяких гарантiй виконання зобов'язань, якi вона видає та якi не вiдповiдають визначенню</w:t>
      </w:r>
      <w:r>
        <w:rPr>
          <w:rFonts w:ascii="Times New Roman CYR" w:hAnsi="Times New Roman CYR" w:cs="Times New Roman CYR"/>
          <w:sz w:val="24"/>
          <w:szCs w:val="24"/>
        </w:rPr>
        <w:t xml:space="preserve"> зобов'язань iз надання кредитiв, i наразi оцiнює вплив цього нового стандарту на свою фiнансову звiтнiсть. Крiм того, розглядається потенцiйний вплив стандарту на страховi продукти, вбудованi у кредитнi договори й аналогiчнi iнструменти.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МСФЗ 17 та змiна МСФЗ 4 (опублiкованi 25 червня 2020 року i вступають у силу для рiчних перiодiв, якi починаються з 1 сiчня 2023 року або пiсля цiєї дати). Змiни включають роз'яснення для спрощення запровадження МСФЗ 17 i спрощення окремих вимог стан</w:t>
      </w:r>
      <w:r>
        <w:rPr>
          <w:rFonts w:ascii="Times New Roman CYR" w:hAnsi="Times New Roman CYR" w:cs="Times New Roman CYR"/>
          <w:sz w:val="24"/>
          <w:szCs w:val="24"/>
        </w:rPr>
        <w:t xml:space="preserve">дарту та перехiдних положень. Цi змiни стосуються восьми областей МСФЗ 17 i не передбачають змiни основоположних принципiв стандарту. До МСФЗ 17 були внесенi такi змiни: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Дата набуття чинностi: Дату набуття чинностi МСФЗ 17 (зi змiнами) вiдкладено на два </w:t>
      </w:r>
      <w:r>
        <w:rPr>
          <w:rFonts w:ascii="Times New Roman CYR" w:hAnsi="Times New Roman CYR" w:cs="Times New Roman CYR"/>
          <w:sz w:val="24"/>
          <w:szCs w:val="24"/>
        </w:rPr>
        <w:t>роки. Стандарт має застосовуватися до рiчних звiтних перiодiв, якi починаються з 1 сiчня 2023 року або пiсля цiєї дати. Встановлений у МСФЗ 4 строк дiї тимчасового звiльнення вiд застосування МСФЗ 9 також перенесено на рiчнi звiтнi перiоди, якi починаються</w:t>
      </w:r>
      <w:r>
        <w:rPr>
          <w:rFonts w:ascii="Times New Roman CYR" w:hAnsi="Times New Roman CYR" w:cs="Times New Roman CYR"/>
          <w:sz w:val="24"/>
          <w:szCs w:val="24"/>
        </w:rPr>
        <w:t xml:space="preserve"> з 1 сiчня 2023 року або пiсля цiєї дати.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Очiкуване вiдшкодування страхових аквiзицiйних грошових потокiв: Органiзацiї повиннi вiдносити частину своїх аквiзицiйних витрат на вiдповiднi договори, якi очiкується подовжити, та визнавати такi витрати як актив</w:t>
      </w:r>
      <w:r>
        <w:rPr>
          <w:rFonts w:ascii="Times New Roman CYR" w:hAnsi="Times New Roman CYR" w:cs="Times New Roman CYR"/>
          <w:sz w:val="24"/>
          <w:szCs w:val="24"/>
        </w:rPr>
        <w:t xml:space="preserve">и до моменту визнання органiзацiєю подовження договору. Органiзацiї повиннi оцiнювати ймовiрнiсть вiдшкодування активу на кожну звiтну дату i надавати iнформацiю про конкретний актив у примiтках до фiнансової звiтностi.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Маржа за передбаченi договором пос</w:t>
      </w:r>
      <w:r>
        <w:rPr>
          <w:rFonts w:ascii="Times New Roman CYR" w:hAnsi="Times New Roman CYR" w:cs="Times New Roman CYR"/>
          <w:sz w:val="24"/>
          <w:szCs w:val="24"/>
        </w:rPr>
        <w:t>луги, що вiдноситься на iнвестицiйнi послуги: Слiд iдентифiкувати одиницi покриття з урахуванням обсягу вигод i очiкуваного перiоду страхового покриття та iнвестицiйних послуг за договорами зi змiнними платежами та iншими договорами з послугами по отриманн</w:t>
      </w:r>
      <w:r>
        <w:rPr>
          <w:rFonts w:ascii="Times New Roman CYR" w:hAnsi="Times New Roman CYR" w:cs="Times New Roman CYR"/>
          <w:sz w:val="24"/>
          <w:szCs w:val="24"/>
        </w:rPr>
        <w:t>ю iнвестицiйного доходу вiдповiдно до загальної моделi. Витрати, пов'язанi з iнвестицiйною дiяльнiстю, слiд включати як грошовi потоки у межi договору страхування у тих випадках, в яких органiзацiя здiйснює таку дiяльнiсть для збiльшення вигод вiд страхово</w:t>
      </w:r>
      <w:r>
        <w:rPr>
          <w:rFonts w:ascii="Times New Roman CYR" w:hAnsi="Times New Roman CYR" w:cs="Times New Roman CYR"/>
          <w:sz w:val="24"/>
          <w:szCs w:val="24"/>
        </w:rPr>
        <w:t xml:space="preserve">го покриття для власника страхового полiсу.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Утримуванi договори перестрахування - вiдшкодування збиткiв: Коли органiзацiя визнає збиток при первiсному визнаннi обтяжливої групи базових договорiв страхування чи при додаваннi обтяжливих базових договорiв с</w:t>
      </w:r>
      <w:r>
        <w:rPr>
          <w:rFonts w:ascii="Times New Roman CYR" w:hAnsi="Times New Roman CYR" w:cs="Times New Roman CYR"/>
          <w:sz w:val="24"/>
          <w:szCs w:val="24"/>
        </w:rPr>
        <w:t>трахування до групи, органiзацiя повинна скоригувати маржу за передбаченi договором послуги вiдповiдної групи утримуваних договорiв перестрахування i визнати прибуток за такими договорами перестрахування. Сума збитку, вiдшкодованого за утримуваним договоро</w:t>
      </w:r>
      <w:r>
        <w:rPr>
          <w:rFonts w:ascii="Times New Roman CYR" w:hAnsi="Times New Roman CYR" w:cs="Times New Roman CYR"/>
          <w:sz w:val="24"/>
          <w:szCs w:val="24"/>
        </w:rPr>
        <w:t>м перестрахування, визначається множенням збитку, визнаного за базовими договорами страхування, на процент вимог за базовими договорами страхування, який органiзацiя очiкує вiдшкодувати за утримуваним договором перестрахування. Ця вимога застосовуватиметьс</w:t>
      </w:r>
      <w:r>
        <w:rPr>
          <w:rFonts w:ascii="Times New Roman CYR" w:hAnsi="Times New Roman CYR" w:cs="Times New Roman CYR"/>
          <w:sz w:val="24"/>
          <w:szCs w:val="24"/>
        </w:rPr>
        <w:t xml:space="preserve">я тiльки у тому випадку, коли утримуваний договiр перестрахування визнається до визнання збитку вiд базового договору страхування або одночасно з таким визнанням.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змiни: Iншi змiни включають виключення зi сфери застосування для певних договорiв кред</w:t>
      </w:r>
      <w:r>
        <w:rPr>
          <w:rFonts w:ascii="Times New Roman CYR" w:hAnsi="Times New Roman CYR" w:cs="Times New Roman CYR"/>
          <w:sz w:val="24"/>
          <w:szCs w:val="24"/>
        </w:rPr>
        <w:t>итних карт (або аналогiчних договорiв) i для певних кредитних договорiв; представлення активiв i зобов'язань за договорами страхування у звiтi про фiнансовий стан у портфелях, а не в групах; застосовнiсть варiанту зниження ризику при зниженнi фiнансових ри</w:t>
      </w:r>
      <w:r>
        <w:rPr>
          <w:rFonts w:ascii="Times New Roman CYR" w:hAnsi="Times New Roman CYR" w:cs="Times New Roman CYR"/>
          <w:sz w:val="24"/>
          <w:szCs w:val="24"/>
        </w:rPr>
        <w:t>зикiв за допомогою утримуваних договорiв перестрахування та непохiдних фiнансових iнструментiв за справедливою вартiстю через прибуток чи збиток; вибiр облiкової полiтики для змiни оцiнок, зроблених у попереднiй промiжнiй фiнансовiй звiтностi, при застосув</w:t>
      </w:r>
      <w:r>
        <w:rPr>
          <w:rFonts w:ascii="Times New Roman CYR" w:hAnsi="Times New Roman CYR" w:cs="Times New Roman CYR"/>
          <w:sz w:val="24"/>
          <w:szCs w:val="24"/>
        </w:rPr>
        <w:t>аннi МСФЗ 17; включення платежiв i надходжень з податку на прибуток, що вiдносяться на конкретного власника страхового полiсу, за умовами договору страхування до грошових потокiв; i вибiркове звiльнення вiд вимог протягом перехiдного перiоду та iншi незнач</w:t>
      </w:r>
      <w:r>
        <w:rPr>
          <w:rFonts w:ascii="Times New Roman CYR" w:hAnsi="Times New Roman CYR" w:cs="Times New Roman CYR"/>
          <w:sz w:val="24"/>
          <w:szCs w:val="24"/>
        </w:rPr>
        <w:t xml:space="preserve">нi змiни.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МСФЗ 17 "Перехiдна опцiя для страхових компанiй, що застосовують МСФЗ 17" (опублiкованi 9 грудня 2021 року i вступають у силу для рiчних перiодiв, якi починаються з 1 сiчня 2023 року або пiсля цiєї дати). Змiна до перехiдних положень МСФЗ</w:t>
      </w:r>
      <w:r>
        <w:rPr>
          <w:rFonts w:ascii="Times New Roman CYR" w:hAnsi="Times New Roman CYR" w:cs="Times New Roman CYR"/>
          <w:sz w:val="24"/>
          <w:szCs w:val="24"/>
        </w:rPr>
        <w:t xml:space="preserve"> 17 надає страховим компанiям опцiю, спрямовану на пiдвищення корисностi iнформацiї, яка надається iнвесторам при початковому застосуваннi МСФЗ 17. Змiна стосується лише переходу страхових компанiй на облiк згiдно з МСФЗ 17 та не впливає на будь-якi iншi в</w:t>
      </w:r>
      <w:r>
        <w:rPr>
          <w:rFonts w:ascii="Times New Roman CYR" w:hAnsi="Times New Roman CYR" w:cs="Times New Roman CYR"/>
          <w:sz w:val="24"/>
          <w:szCs w:val="24"/>
        </w:rPr>
        <w:t xml:space="preserve">имоги МСФЗ 17. Перехiднi положення МСФЗ 17 та МСФЗ 9 застосовуються на рiзнi дати та призведуть до таких разових вiдмiнностей у класифiкацiї у порiвняльнiй iнформацiї, представленiй станом на дату початкового застосування МСФЗ 17: облiкова невiдповiднiсть </w:t>
      </w:r>
      <w:r>
        <w:rPr>
          <w:rFonts w:ascii="Times New Roman CYR" w:hAnsi="Times New Roman CYR" w:cs="Times New Roman CYR"/>
          <w:sz w:val="24"/>
          <w:szCs w:val="24"/>
        </w:rPr>
        <w:t>мiж зобов'язаннями за договорами страхування, що оцiнюються за поточною вартiстю, та вiдповiдними фiнансовими активами, що оцiнюються за амортизованою вартiстю, а також, якщо органiзацiя прийняла рiшення скоригувати порiвняльну iнформацiю у вiдповiдностi д</w:t>
      </w:r>
      <w:r>
        <w:rPr>
          <w:rFonts w:ascii="Times New Roman CYR" w:hAnsi="Times New Roman CYR" w:cs="Times New Roman CYR"/>
          <w:sz w:val="24"/>
          <w:szCs w:val="24"/>
        </w:rPr>
        <w:t>о вимог МСФЗ 9, вiдмiнностi мiж класифiкацiєю фiнансових активiв, визнання яких припинене за порiвняльний перiод (до яких МСФЗ 9 не застосовується), та iнших фiнансових активiв (до яких МСФЗ 9 застосовується). Змiна стандарту допоможе страховим компанiям у</w:t>
      </w:r>
      <w:r>
        <w:rPr>
          <w:rFonts w:ascii="Times New Roman CYR" w:hAnsi="Times New Roman CYR" w:cs="Times New Roman CYR"/>
          <w:sz w:val="24"/>
          <w:szCs w:val="24"/>
        </w:rPr>
        <w:t>никнути цих тимчасових облiкових невiдповiдностей, а отже, пiдвищить кориснiсть порiвняльної iнформацiї для iнвесторiв. Для цього страховим компанiям надається опцiя щодо представлення порiвняльної iнформацiї про фiнансовi активи. При початковому застосува</w:t>
      </w:r>
      <w:r>
        <w:rPr>
          <w:rFonts w:ascii="Times New Roman CYR" w:hAnsi="Times New Roman CYR" w:cs="Times New Roman CYR"/>
          <w:sz w:val="24"/>
          <w:szCs w:val="24"/>
        </w:rPr>
        <w:t>ннi МСФЗ 17 органiзацiям для цiлей представлення порiвняльної iнформацiї дозволяється застосовувати пiдхiд накладання при класифiкацiї фiнансових активiв, за якими органiзацiя не коригує порiвняльну iнформацiю згiдно з МСФЗ 9. Перехiдна опцiя може застосов</w:t>
      </w:r>
      <w:r>
        <w:rPr>
          <w:rFonts w:ascii="Times New Roman CYR" w:hAnsi="Times New Roman CYR" w:cs="Times New Roman CYR"/>
          <w:sz w:val="24"/>
          <w:szCs w:val="24"/>
        </w:rPr>
        <w:t>уватися окремо за кожним iнструментом, дозволяє органiзацiї представляти порiвняльну iнформацiю так, якби до цього фiнансового активу застосовувалися вимоги МСФЗ 9 щодо класифiкацiї та оцiнки, але не вимагає вiд органiзацiї застосовувати вимоги МСФЗ 9 щодо</w:t>
      </w:r>
      <w:r>
        <w:rPr>
          <w:rFonts w:ascii="Times New Roman CYR" w:hAnsi="Times New Roman CYR" w:cs="Times New Roman CYR"/>
          <w:sz w:val="24"/>
          <w:szCs w:val="24"/>
        </w:rPr>
        <w:t xml:space="preserve"> знецiнення, а також вимагає вiд органiзацiй, якi застосовують при класифiкацiї фiнансового активу пiдхiд накладання, використовувати обгрунтовану та пiдтверджувану iнформацiю, наявну на дату переходу на облiк згiдно зi стандартом для визначення того, як о</w:t>
      </w:r>
      <w:r>
        <w:rPr>
          <w:rFonts w:ascii="Times New Roman CYR" w:hAnsi="Times New Roman CYR" w:cs="Times New Roman CYR"/>
          <w:sz w:val="24"/>
          <w:szCs w:val="24"/>
        </w:rPr>
        <w:t>рганiзацiя очiкує класифiкувати цей фiнансовий актив iз застосуванням МСФЗ 9.</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Наразi Компанiя  оцiнює МСФЗ 17 та пов'язаних з ним змiн на її фiнансову звiтнiсть.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iнше не зазначено вище, не очiкується суттєвого впливу цих нових стандартiв та iнтерпр</w:t>
      </w:r>
      <w:r>
        <w:rPr>
          <w:rFonts w:ascii="Times New Roman CYR" w:hAnsi="Times New Roman CYR" w:cs="Times New Roman CYR"/>
          <w:sz w:val="24"/>
          <w:szCs w:val="24"/>
        </w:rPr>
        <w:t>етацiй на фiнансову звiтнiстьКомпанiї.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2.3. Валюта подання звiтностi та функцiональна валюта, ступiнь округлення. Ця фiнансова звiтнiсть складена в нацiональнiй валютi України - гривнях, якщо iнше не зазначено в окремих звiтах та примiтках. Одиниця ви</w:t>
      </w:r>
      <w:r>
        <w:rPr>
          <w:rFonts w:ascii="Times New Roman CYR" w:hAnsi="Times New Roman CYR" w:cs="Times New Roman CYR"/>
          <w:sz w:val="24"/>
          <w:szCs w:val="24"/>
        </w:rPr>
        <w:t>мiру - тисяча гривень.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2.4. Припущення про безперервнiсть дiяльностi.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Фiнансова звiтнiсть АТ "CК" "САТIС" складена, виходячи з припущення безперервностi дiяльностi, вiдповiдно до якого реалiзацiя активiв i погашення зобов'язань вiдбувається в ходi звичайної дiяльностi.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 кiнця 2019 року розпочалося поширення нового к</w:t>
      </w:r>
      <w:r>
        <w:rPr>
          <w:rFonts w:ascii="Times New Roman CYR" w:hAnsi="Times New Roman CYR" w:cs="Times New Roman CYR"/>
          <w:sz w:val="24"/>
          <w:szCs w:val="24"/>
        </w:rPr>
        <w:t>оронавiрусу, який отримав назву COVID-19, здатного викликати важкi наслiдки, що призводять до загибелi людини. На кiнець 2019р. Всесвiтня органiзацiя охорони здоров'я повiдомляла про обмежене число випадкiв зараження COVID-19, але 31 сiчня 2020 року оголос</w:t>
      </w:r>
      <w:r>
        <w:rPr>
          <w:rFonts w:ascii="Times New Roman CYR" w:hAnsi="Times New Roman CYR" w:cs="Times New Roman CYR"/>
          <w:sz w:val="24"/>
          <w:szCs w:val="24"/>
        </w:rPr>
        <w:t>ила надзвичайну ситуацiю в областi охорони здоров'я, а 13 березня 2020 року - про початок пандемiї в зв'язку зi стрiмким поширенням COVID-19 в Європi та iнших регiонах. Заходи, що вживаються по всьому свiту з метою боротьби з поширенням COVID-19, призводят</w:t>
      </w:r>
      <w:r>
        <w:rPr>
          <w:rFonts w:ascii="Times New Roman CYR" w:hAnsi="Times New Roman CYR" w:cs="Times New Roman CYR"/>
          <w:sz w:val="24"/>
          <w:szCs w:val="24"/>
        </w:rPr>
        <w:t>ь до необхiдностi обмеження дiлової активностi, що впливає на Компанiя, а також до необхiдностi профiлактичних заходiв, спрямованих на запобiгання поширенню iнфекцiї. Для зменшення ризику щодо впливу подiй на фiнансову дiяльнiсть Компанiї, пов'язаних зi сп</w:t>
      </w:r>
      <w:r>
        <w:rPr>
          <w:rFonts w:ascii="Times New Roman CYR" w:hAnsi="Times New Roman CYR" w:cs="Times New Roman CYR"/>
          <w:sz w:val="24"/>
          <w:szCs w:val="24"/>
        </w:rPr>
        <w:t>алахом коронавiрусу COVID-19, Товариство вживає  належнi заходи на пiдтримку стабiльностi  та безперервностi його дiяльностi. Зазначенi вище подiї  не є такими, що мають суттєвий вплив на дiяльнiсть i розвиток Компанiї, не є такими, що спричиняють будь-якi</w:t>
      </w:r>
      <w:r>
        <w:rPr>
          <w:rFonts w:ascii="Times New Roman CYR" w:hAnsi="Times New Roman CYR" w:cs="Times New Roman CYR"/>
          <w:sz w:val="24"/>
          <w:szCs w:val="24"/>
        </w:rPr>
        <w:t xml:space="preserve"> невизначеностi щодо безперервної дiяльностi Компанiї, i не потребують коригування або розкриття у фiнансовiй звiтностi та примiтках до неї.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24 лютого 2022 року, Росiйська Федерацiя розпочала неспровоковану повномасштабну воєнну агресiю в Українi. Негайно</w:t>
      </w:r>
      <w:r>
        <w:rPr>
          <w:rFonts w:ascii="Times New Roman CYR" w:hAnsi="Times New Roman CYR" w:cs="Times New Roman CYR"/>
          <w:sz w:val="24"/>
          <w:szCs w:val="24"/>
        </w:rPr>
        <w:t xml:space="preserve"> пiсля цього урядом України було введено воєнний стан та вiдповiднi тимчасовi обмеження, якi впливають на економiчнi умови. Додаткову iнформацiю про цi подiї пiсля закiнчення звiтного перiоду наведено також у Примiтцi 6.22.</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Оскiльки росiйське воєнне вторг</w:t>
      </w:r>
      <w:r>
        <w:rPr>
          <w:rFonts w:ascii="Times New Roman CYR" w:hAnsi="Times New Roman CYR" w:cs="Times New Roman CYR"/>
          <w:sz w:val="24"/>
          <w:szCs w:val="24"/>
        </w:rPr>
        <w:t>нення в Україну вiдбувається з численних напрямкiв, деякi регiони України залишаються ареною iнтенсивних бойових дiй або тимчасово окупованi. Товариство провадить дiяльнiсть та надає послуги на всiй територiї Українi за винятком тимчасово окупованих терито</w:t>
      </w:r>
      <w:r>
        <w:rPr>
          <w:rFonts w:ascii="Times New Roman CYR" w:hAnsi="Times New Roman CYR" w:cs="Times New Roman CYR"/>
          <w:sz w:val="24"/>
          <w:szCs w:val="24"/>
        </w:rPr>
        <w:t>рiй. Отже, цi подiї мають суттєвий негативний вплив на українську економiку i, вiдповiдно, на бiзнес, фiнансовий стан та результати дiяльностi Компанiї.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дату випуску цiєї фiнансової звiтностi не було пошкоджень критично важливих активiв, якi пер</w:t>
      </w:r>
      <w:r>
        <w:rPr>
          <w:rFonts w:ascii="Times New Roman CYR" w:hAnsi="Times New Roman CYR" w:cs="Times New Roman CYR"/>
          <w:sz w:val="24"/>
          <w:szCs w:val="24"/>
        </w:rPr>
        <w:t>ешкоджали б Товариству продовжувати дiяльнiсть. Компанiя не має суттєвих активiв у зонi активних воєнних дiй або на тимчасово окупованих територiях.</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разi найгiршого сценарiю розвитку подiй, за якого iнтенсивнi воєннi дiї вiдбуватимуться по всiй територi</w:t>
      </w:r>
      <w:r>
        <w:rPr>
          <w:rFonts w:ascii="Times New Roman CYR" w:hAnsi="Times New Roman CYR" w:cs="Times New Roman CYR"/>
          <w:sz w:val="24"/>
          <w:szCs w:val="24"/>
        </w:rPr>
        <w:t>ї України, можна припустити, що це матиме вплив на дiяльнiсть Товариства, тривалiсть якого неможливо спрогнозувати. Цi обставини являють собою фактор невизначеностi поза контролем Товариства.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проаналiзувало здатнiсть Товариства продовжувати по</w:t>
      </w:r>
      <w:r>
        <w:rPr>
          <w:rFonts w:ascii="Times New Roman CYR" w:hAnsi="Times New Roman CYR" w:cs="Times New Roman CYR"/>
          <w:sz w:val="24"/>
          <w:szCs w:val="24"/>
        </w:rPr>
        <w:t>дальшу безперервну дiяльнiсть станом на дату випуску цiєї фiнансової звiтностi та дiйшло висновку, що iснує лише один суттєвий фактор невизначеностi щодо подальшої значної ескалацiї воєнних дiй, що може призвести до дестабiлiзацiї дiяльностi Товариства, як</w:t>
      </w:r>
      <w:r>
        <w:rPr>
          <w:rFonts w:ascii="Times New Roman CYR" w:hAnsi="Times New Roman CYR" w:cs="Times New Roman CYR"/>
          <w:sz w:val="24"/>
          <w:szCs w:val="24"/>
        </w:rPr>
        <w:t>ий може викликати значнi сумнiви у спроможностi Товариства продовжувати безперервну дiяльнiсть. Отже, Товариство може бути не в змозi реалiзувати свої активи та погасити зобов'язання за звичайного перебiгу господарської дiяльностi. Спираючись на цi фактори</w:t>
      </w:r>
      <w:r>
        <w:rPr>
          <w:rFonts w:ascii="Times New Roman CYR" w:hAnsi="Times New Roman CYR" w:cs="Times New Roman CYR"/>
          <w:sz w:val="24"/>
          <w:szCs w:val="24"/>
        </w:rPr>
        <w:t>, керiвництво обгрунтовано очiкує наявнiсть у Товариства достатнiх ресурсiв для управлiння дiяльнiстю протягом наступних дванадцяти мiсяцiв з дати цiєї фiнансової звiтностi. Керiвництво продовжить вiдстежувати потенцiйний вплив та вживатиме усiх можливих з</w:t>
      </w:r>
      <w:r>
        <w:rPr>
          <w:rFonts w:ascii="Times New Roman CYR" w:hAnsi="Times New Roman CYR" w:cs="Times New Roman CYR"/>
          <w:sz w:val="24"/>
          <w:szCs w:val="24"/>
        </w:rPr>
        <w:t>аходiв для мiнiмiзацiї будь-яких наслiдкiв.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урахуванням цих та iнших заходiв керiвництво Товариства дiйшло висновку, що застосування припущення про безперервнiсть дiяльностi для пiдготовки фiнансової звiтностi є доцiльним</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2.5. Рiшення про затвердженн</w:t>
      </w:r>
      <w:r>
        <w:rPr>
          <w:rFonts w:ascii="Times New Roman CYR" w:hAnsi="Times New Roman CYR" w:cs="Times New Roman CYR"/>
          <w:sz w:val="24"/>
          <w:szCs w:val="24"/>
        </w:rPr>
        <w:t>я фiнансової звiтностi. Фiнансова звiтнiсть Товариства затверджена 20 квiтня 2023 року до випуску (з метою оприлюднення)  Нi учасники Товариства, нi iншi особи не мають права вносити змiни до цiєї фiнансової звiтностi пiсля її затвердження до випуску.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.6. Звiтний перiод фiнансової звiтностi. Звiтним перiодом, за який формується дана промiжна фiнансова звiтнiсть, вважається  квартал, тобто перiод з 01 сiчня по 31 березня  2023 року.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Принципи облiкової полiтики.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 Основи оцiнки складання фiнансової звiтностi. Фiнансовi звiти складенi на основi принципу безперервної дiяльностi Товариства, який передбачає реалiзацiю активiв та погашення зобов'язань при звичайному веденнi господарської дiяльностi. Складення фiнанс</w:t>
      </w:r>
      <w:r>
        <w:rPr>
          <w:rFonts w:ascii="Times New Roman CYR" w:hAnsi="Times New Roman CYR" w:cs="Times New Roman CYR"/>
          <w:sz w:val="24"/>
          <w:szCs w:val="24"/>
        </w:rPr>
        <w:t xml:space="preserve">ових звiтiв вимагає вiд управлiнського персоналу здiйснення попереднiх оцiнок та припущень. Через невизначенiсть, властиву здiйсненню таких попереднiх оцiнок, фактичнi результати можуть базуватися на сумах, що вiдрiзняються вiд таких попереднiх оцiнок.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Суттєвi критерiї визнання та оцiнки  видiв активiв та зобов'язань, доходiв та витрат якi застосовувались при пiдготовцi цих фiнансових звiтiв наведенi в наступних примiтках.</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3.2. Грошовi кошти та їх еквiваленти. Грошовi кошти та їх еквiваленти являють</w:t>
      </w:r>
      <w:r>
        <w:rPr>
          <w:rFonts w:ascii="Times New Roman CYR" w:hAnsi="Times New Roman CYR" w:cs="Times New Roman CYR"/>
          <w:sz w:val="24"/>
          <w:szCs w:val="24"/>
        </w:rPr>
        <w:t xml:space="preserve"> собою активи, якi вiльно конвертуються у готiвку i якi пiдлягають незначному ризику змiн у вартостi. Грошовi кошти та їх еквiваленти включають готiвку в касi, та залишки на рахунках в банкiвських установах.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Грошовi кошти та їх еквiваленти визнаються за </w:t>
      </w:r>
      <w:r>
        <w:rPr>
          <w:rFonts w:ascii="Times New Roman CYR" w:hAnsi="Times New Roman CYR" w:cs="Times New Roman CYR"/>
          <w:sz w:val="24"/>
          <w:szCs w:val="24"/>
        </w:rPr>
        <w:t>умови вiдповiдностi критерiям визнання активами.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Первiсна та подальша оцiнка грошових коштiв та їх еквiвалентiв здiйснюється за справедливою вартiстю, яка дорiвнює їх номiнальнiй вартостi.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разi обмеження права використання коштiв на поточних рахунках в</w:t>
      </w:r>
      <w:r>
        <w:rPr>
          <w:rFonts w:ascii="Times New Roman CYR" w:hAnsi="Times New Roman CYR" w:cs="Times New Roman CYR"/>
          <w:sz w:val="24"/>
          <w:szCs w:val="24"/>
        </w:rPr>
        <w:t xml:space="preserve"> у банках (наприклад, у випадку призначення НБУ в банкiвськiй установi тимчасової адмiнiстрацiї) цi активи можуть бути класифiкованi у складi непоточних активiв. У випадку прийняття НБУ рiшення про лiквiдацiю банкiвської установи та вiдсутностi ймовiрностi</w:t>
      </w:r>
      <w:r>
        <w:rPr>
          <w:rFonts w:ascii="Times New Roman CYR" w:hAnsi="Times New Roman CYR" w:cs="Times New Roman CYR"/>
          <w:sz w:val="24"/>
          <w:szCs w:val="24"/>
        </w:rPr>
        <w:t xml:space="preserve"> повернення грошових коштiв, визнання їх як активу припиняється i їх вартiсть вiдображається у складi збиткiв звiтного перiоду.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3.3. Фiнансовi активи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Облiк фiнансових iнструментiв Товариством здiйснюється вiдповiдно до МСФЗ 9 "Фiнансовi iнструменти",</w:t>
      </w:r>
      <w:r>
        <w:rPr>
          <w:rFonts w:ascii="Times New Roman CYR" w:hAnsi="Times New Roman CYR" w:cs="Times New Roman CYR"/>
          <w:sz w:val="24"/>
          <w:szCs w:val="24"/>
        </w:rPr>
        <w:t xml:space="preserve"> МСФЗ 7 "Фiнансовi iнструменти: розкриття iнформацiї", МСФЗ 32 "Фiнансовi iнструменти: подання", МСБО 28 "Iнвестицiї в асоцiйованi пiдприємства". Фiнансовi активи та фiнансовi зобов'язання визнаються у Звiтi про фiнансовий стан Товариства у той момент, кол</w:t>
      </w:r>
      <w:r>
        <w:rPr>
          <w:rFonts w:ascii="Times New Roman CYR" w:hAnsi="Times New Roman CYR" w:cs="Times New Roman CYR"/>
          <w:sz w:val="24"/>
          <w:szCs w:val="24"/>
        </w:rPr>
        <w:t xml:space="preserve">и Товариство стає стороною контрактних зобов'язань щодо вiдповiдного iнструменту. Товариство має такi категорiї фiнансових iнструментiв: Фiнансовi активи - основнi термiни, пов'язанi з оцiнкою. Залежно вiд мети з якою вони були  придбанi, фiнансовi активи </w:t>
      </w:r>
      <w:r>
        <w:rPr>
          <w:rFonts w:ascii="Times New Roman CYR" w:hAnsi="Times New Roman CYR" w:cs="Times New Roman CYR"/>
          <w:sz w:val="24"/>
          <w:szCs w:val="24"/>
        </w:rPr>
        <w:t>класифiкуються як такi, що:</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оцiнюються за справедливою вартiстю через прибуток та збиток;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що утримуються до погашення, та облiковуються за амортизованою вартiстю;</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займи та дебiторська заборгованiсть;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   фiнансовi активи в наявностi для продажу, якi облiковуються  за справедливою вартiстю через змiни в капiталi.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фiнансових активiв, що оцiнюються за справедливою вартiстю Товариство вiдносить цiннi папери, якi придбавалися для торгових операцiй, яки</w:t>
      </w:r>
      <w:r>
        <w:rPr>
          <w:rFonts w:ascii="Times New Roman CYR" w:hAnsi="Times New Roman CYR" w:cs="Times New Roman CYR"/>
          <w:sz w:val="24"/>
          <w:szCs w:val="24"/>
        </w:rPr>
        <w:t>м притаманна швидка лiквiднiсть, та   по яких є можливiсть визначення справедливої вартостi на пiдставi бiржових торгiв.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фiнансових активiв, утримуваних до погашення, Товариство вiдносить облiгацiї та векселi, що їх Товариство має реальний намiр та зда</w:t>
      </w:r>
      <w:r>
        <w:rPr>
          <w:rFonts w:ascii="Times New Roman CYR" w:hAnsi="Times New Roman CYR" w:cs="Times New Roman CYR"/>
          <w:sz w:val="24"/>
          <w:szCs w:val="24"/>
        </w:rPr>
        <w:t>тнiсть утримувати до погашення. Пiсля первiсного визнання Товариство оцiнює їх за амортизованою собiвартiстю, застосовуючи метод ефективного вiдсотка, за вирахуванням збиткiв вiд знецiнення, якщо вони є.</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фiнансових активiв доступних для продажу, Товари</w:t>
      </w:r>
      <w:r>
        <w:rPr>
          <w:rFonts w:ascii="Times New Roman CYR" w:hAnsi="Times New Roman CYR" w:cs="Times New Roman CYR"/>
          <w:sz w:val="24"/>
          <w:szCs w:val="24"/>
        </w:rPr>
        <w:t>ство вiдносить iнвестицiї якi не пiдпадають пiд вищезазначенi категорiї. Пiсля первiсного визнання Товариство оцiнює їх за справедливою вартiстю. Результати вiд змiни справедливої вартостi доступного для продажу фiнансового активу визнаються прямо у власно</w:t>
      </w:r>
      <w:r>
        <w:rPr>
          <w:rFonts w:ascii="Times New Roman CYR" w:hAnsi="Times New Roman CYR" w:cs="Times New Roman CYR"/>
          <w:sz w:val="24"/>
          <w:szCs w:val="24"/>
        </w:rPr>
        <w:t>му капiталi з вiдображенням у звiтi про змiни у власному капiталi, за винятком збиткiв вiд зменшення корисностi та збиткiв вiд коливань курсу iноземної валюти, доки визнання фiнансового активу не буде припинено, коли кумулятивний прибуток або збиток, визна</w:t>
      </w:r>
      <w:r>
        <w:rPr>
          <w:rFonts w:ascii="Times New Roman CYR" w:hAnsi="Times New Roman CYR" w:cs="Times New Roman CYR"/>
          <w:sz w:val="24"/>
          <w:szCs w:val="24"/>
        </w:rPr>
        <w:t>ний ранiше у власному капiталi, слiд визнавати у прибутку чи збитку.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iснує об'єктивне свiдчення зменшення корисностi фiнансового активу, доступного для продажу, сума кумулятивного збитку виключається з власного капiталу i визнається у прибутку чи зби</w:t>
      </w:r>
      <w:r>
        <w:rPr>
          <w:rFonts w:ascii="Times New Roman CYR" w:hAnsi="Times New Roman CYR" w:cs="Times New Roman CYR"/>
          <w:sz w:val="24"/>
          <w:szCs w:val="24"/>
        </w:rPr>
        <w:t>тку. Неринковi акцiї, справедливу вартiсть яких неможливо визначити, облiковуються за собiвартiстю, за вирахуванням збиткiв вiд знецiнення, якщо вони є.</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 фiнансових iнвестицiй Компанiя веде з врахуванням вимог МСФО 28 "Iнвестицiї  в асоцiйованi та сп</w:t>
      </w:r>
      <w:r>
        <w:rPr>
          <w:rFonts w:ascii="Times New Roman CYR" w:hAnsi="Times New Roman CYR" w:cs="Times New Roman CYR"/>
          <w:sz w:val="24"/>
          <w:szCs w:val="24"/>
        </w:rPr>
        <w:t>iльнi пiдприємства" методом участi в капiталi. Згiдно з методом участi в капiталi, при первiсному визнаннi iнвестицiя в асоцiйоване або спiльне пiдприємство визнається за собiвартiстю i згодом її балансова вартiсть збiльшується або зменшується для визнання</w:t>
      </w:r>
      <w:r>
        <w:rPr>
          <w:rFonts w:ascii="Times New Roman CYR" w:hAnsi="Times New Roman CYR" w:cs="Times New Roman CYR"/>
          <w:sz w:val="24"/>
          <w:szCs w:val="24"/>
        </w:rPr>
        <w:t xml:space="preserve"> частки iнвестора в прибутку або збитку об'єкта iнвестування пiсля дати придбання. Частка iнвестора в прибутку або збитку об'єкта iнвестування визнається в прибутку або збитку iнвестора. Виплати, отриманi вiд об'єкта iнвестування, зменшують балансову вартi</w:t>
      </w:r>
      <w:r>
        <w:rPr>
          <w:rFonts w:ascii="Times New Roman CYR" w:hAnsi="Times New Roman CYR" w:cs="Times New Roman CYR"/>
          <w:sz w:val="24"/>
          <w:szCs w:val="24"/>
        </w:rPr>
        <w:t>сть iнвестицiї. Коригування балансової вартостi можуть бути необхiдними й при змiнi пропорцiйної частки iнвестора в об'єктi iнвестування, яка виникає вiд змiн в iнших сукупних прибутках об'єкта iнвестування. Такi змiни включають i змiни, що виникають вiд п</w:t>
      </w:r>
      <w:r>
        <w:rPr>
          <w:rFonts w:ascii="Times New Roman CYR" w:hAnsi="Times New Roman CYR" w:cs="Times New Roman CYR"/>
          <w:sz w:val="24"/>
          <w:szCs w:val="24"/>
        </w:rPr>
        <w:t xml:space="preserve">ереоцiнки основних засобiв та вiд рiзницi у валютних курсах. Частка iнвестора в цих змiнах визнається в iншому сукупному прибутку iнвестора.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Знецiнення активiв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Згiдно з вимогами МСБО 36 "Знецiнення активiв", вартiсть активу повинна розраховува</w:t>
      </w:r>
      <w:r>
        <w:rPr>
          <w:rFonts w:ascii="Times New Roman CYR" w:hAnsi="Times New Roman CYR" w:cs="Times New Roman CYR"/>
          <w:sz w:val="24"/>
          <w:szCs w:val="24"/>
        </w:rPr>
        <w:t>тися, як нижча з двох нижче певних величин: або чиста вартiсть реалiзацiї, або прибутковiсть використання активу. Чиста вартiсть реалiзацiї - це сума, яку можна отримати вiд продажу активу незв'язаним сторонам, яка здiйснюється при нормальних обставинах за</w:t>
      </w:r>
      <w:r>
        <w:rPr>
          <w:rFonts w:ascii="Times New Roman CYR" w:hAnsi="Times New Roman CYR" w:cs="Times New Roman CYR"/>
          <w:sz w:val="24"/>
          <w:szCs w:val="24"/>
        </w:rPr>
        <w:t xml:space="preserve"> вирахуванням прямих витрат на   продаж. Прибуток вiд використання активу - це справжня вартiсть очiкуваних грошових потокiв вiд використання активу протягом термiну корисної експлуатацiї цього активу i вiд його лiквiдацiї.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(IFRS) 9 вимагає, щоб комп</w:t>
      </w:r>
      <w:r>
        <w:rPr>
          <w:rFonts w:ascii="Times New Roman CYR" w:hAnsi="Times New Roman CYR" w:cs="Times New Roman CYR"/>
          <w:sz w:val="24"/>
          <w:szCs w:val="24"/>
        </w:rPr>
        <w:t>анiї оцiнювали i враховували очiкуванi кредитнi збитки по всiм вiдповiдним фiнансовим активам (в основному, це борговi цiннi папери, дебiторська заборгованiсть, включаючи дебiторську заборгованiсть по орендi, активи за договорами вiдповiдно до IFRS 15, поз</w:t>
      </w:r>
      <w:r>
        <w:rPr>
          <w:rFonts w:ascii="Times New Roman CYR" w:hAnsi="Times New Roman CYR" w:cs="Times New Roman CYR"/>
          <w:sz w:val="24"/>
          <w:szCs w:val="24"/>
        </w:rPr>
        <w:t>ики), починаючи з моменту первинного придбання фiнансового iнструменту.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Так, вiдповiдно до моделi очiкуваних кредитних збиткiв, в результатi застосування МСФЗ 9,  Товариство визнає очiкуванi кредитнi збитки та їх змiну кiнець року, вiдображаючи змiни кредитного ризику вiд дати первiсного визнання.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3.4. Основнi засоби. На да</w:t>
      </w:r>
      <w:r>
        <w:rPr>
          <w:rFonts w:ascii="Times New Roman CYR" w:hAnsi="Times New Roman CYR" w:cs="Times New Roman CYR"/>
          <w:sz w:val="24"/>
          <w:szCs w:val="24"/>
        </w:rPr>
        <w:t>ту балансу основнi засоби (крiм групи "будiвлi i споруди") облiковуються за  первiсною вартiстю (собiвартiстю) з вирахуванням накопиченої амортизацiї та накопичених збиткiв вiд зменшення корисностi. Будiвлi та споруди  пiсля первiсного визнання облiковують</w:t>
      </w:r>
      <w:r>
        <w:rPr>
          <w:rFonts w:ascii="Times New Roman CYR" w:hAnsi="Times New Roman CYR" w:cs="Times New Roman CYR"/>
          <w:sz w:val="24"/>
          <w:szCs w:val="24"/>
        </w:rPr>
        <w:t>ся за переоцiненою вартiстю (справедливою вартiстю).</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Первiсна вартiсть основних засобiв збiльшується на суму витрат, пов'язаних з полiпшенням об'єкта (модернiзацiя, модифiкацiя, добудова, дообладнання, реконструкцiя тощо), у результатi чого збiл</w:t>
      </w:r>
      <w:r>
        <w:rPr>
          <w:rFonts w:ascii="Times New Roman CYR" w:hAnsi="Times New Roman CYR" w:cs="Times New Roman CYR"/>
          <w:sz w:val="24"/>
          <w:szCs w:val="24"/>
        </w:rPr>
        <w:t>ьшуються майбутнi економiчнi вигоди, первiсно очiкуванi вiд використання цього об'єкту.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Витрати, що здiйснюються для пiдтримання об'єкта основних засобiв у придатному для використання станi (капiтальний та поточний ремонт), включаються до склад</w:t>
      </w:r>
      <w:r>
        <w:rPr>
          <w:rFonts w:ascii="Times New Roman CYR" w:hAnsi="Times New Roman CYR" w:cs="Times New Roman CYR"/>
          <w:sz w:val="24"/>
          <w:szCs w:val="24"/>
        </w:rPr>
        <w:t>у витрат звiтного перiоду i не впливають на його залишкову вартiсть. Компанiєю застосовується прямолiнiйний метод нарахування амортизацiї на щомiсячнiй основi.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Строки корисного використання основних видiв основних засобiв встановленi наступнi: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Таб. 3.4</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Види об'єктiв</w:t>
      </w:r>
      <w:r>
        <w:rPr>
          <w:rFonts w:ascii="Times New Roman CYR" w:hAnsi="Times New Roman CYR" w:cs="Times New Roman CYR"/>
          <w:sz w:val="24"/>
          <w:szCs w:val="24"/>
        </w:rPr>
        <w:tab/>
        <w:t>Строк корисного використання (рокiв)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Будинки та споруди</w:t>
      </w:r>
      <w:r>
        <w:rPr>
          <w:rFonts w:ascii="Times New Roman CYR" w:hAnsi="Times New Roman CYR" w:cs="Times New Roman CYR"/>
          <w:sz w:val="24"/>
          <w:szCs w:val="24"/>
        </w:rPr>
        <w:tab/>
        <w:t>20-50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Обладнання  охорони та сигналiзацiї</w:t>
      </w:r>
      <w:r>
        <w:rPr>
          <w:rFonts w:ascii="Times New Roman CYR" w:hAnsi="Times New Roman CYR" w:cs="Times New Roman CYR"/>
          <w:sz w:val="24"/>
          <w:szCs w:val="24"/>
        </w:rPr>
        <w:tab/>
        <w:t>12</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Машини</w:t>
      </w:r>
      <w:r>
        <w:rPr>
          <w:rFonts w:ascii="Times New Roman CYR" w:hAnsi="Times New Roman CYR" w:cs="Times New Roman CYR"/>
          <w:sz w:val="24"/>
          <w:szCs w:val="24"/>
        </w:rPr>
        <w:t xml:space="preserve"> та обладнання</w:t>
      </w:r>
      <w:r>
        <w:rPr>
          <w:rFonts w:ascii="Times New Roman CYR" w:hAnsi="Times New Roman CYR" w:cs="Times New Roman CYR"/>
          <w:sz w:val="24"/>
          <w:szCs w:val="24"/>
        </w:rPr>
        <w:tab/>
        <w:t>5-7</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Автотранспорт</w:t>
      </w:r>
      <w:r>
        <w:rPr>
          <w:rFonts w:ascii="Times New Roman CYR" w:hAnsi="Times New Roman CYR" w:cs="Times New Roman CYR"/>
          <w:sz w:val="24"/>
          <w:szCs w:val="24"/>
        </w:rPr>
        <w:tab/>
        <w:t>5-7</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Iнструменти, прилади, iнвентар</w:t>
      </w:r>
      <w:r>
        <w:rPr>
          <w:rFonts w:ascii="Times New Roman CYR" w:hAnsi="Times New Roman CYR" w:cs="Times New Roman CYR"/>
          <w:sz w:val="24"/>
          <w:szCs w:val="24"/>
        </w:rPr>
        <w:tab/>
        <w:t>4</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w:t>
      </w:r>
      <w:r>
        <w:rPr>
          <w:rFonts w:ascii="Times New Roman CYR" w:hAnsi="Times New Roman CYR" w:cs="Times New Roman CYR"/>
          <w:sz w:val="24"/>
          <w:szCs w:val="24"/>
        </w:rPr>
        <w:tab/>
        <w:t>12</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Земля та незавершенi капiтальнi вкладення не амортизуються.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Капiтальнi вкладення в орендованi примiщення використовуються протягом строку оренди примiщень.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нового активу починається тодi, коли вiн стає  доступним для використання, коли його мiсце розташування i стан дозволяють здiйснювати його експлуатацiю вiдповiдно до намiрiв керiвництва.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3.5.Нематерiальнi активи. Нематерiальнi активи оприбутко</w:t>
      </w:r>
      <w:r>
        <w:rPr>
          <w:rFonts w:ascii="Times New Roman CYR" w:hAnsi="Times New Roman CYR" w:cs="Times New Roman CYR"/>
          <w:sz w:val="24"/>
          <w:szCs w:val="24"/>
        </w:rPr>
        <w:t>вуються Компанiєю за первiсною вартiстю, яка складається з цiни придбання та iнших витрат, пов'язаних iз приведенням їх у стан придатний для використання, та вiдображаються в фiнансової звiтностi за первiсною вартiстю за вирахування накопиченої амортизацiї</w:t>
      </w:r>
      <w:r>
        <w:rPr>
          <w:rFonts w:ascii="Times New Roman CYR" w:hAnsi="Times New Roman CYR" w:cs="Times New Roman CYR"/>
          <w:sz w:val="24"/>
          <w:szCs w:val="24"/>
        </w:rPr>
        <w:t xml:space="preserve"> та накопичених збиткiв вiд зменшення корисностi. Амортизацiя нематерiальних активiв проводиться за прямолiнiйним методом.</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Компанiєю встановленi наступнi строки корисного використання нематерiальних активiв: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 3.5</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 групи</w:t>
      </w:r>
      <w:r>
        <w:rPr>
          <w:rFonts w:ascii="Times New Roman CYR" w:hAnsi="Times New Roman CYR" w:cs="Times New Roman CYR"/>
          <w:sz w:val="24"/>
          <w:szCs w:val="24"/>
        </w:rPr>
        <w:tab/>
        <w:t>Стро</w:t>
      </w:r>
      <w:r>
        <w:rPr>
          <w:rFonts w:ascii="Times New Roman CYR" w:hAnsi="Times New Roman CYR" w:cs="Times New Roman CYR"/>
          <w:sz w:val="24"/>
          <w:szCs w:val="24"/>
        </w:rPr>
        <w:t>к корисного використання (рокiв)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Права на використання програм для комп'ютерної технiки, на рiзнi бази даних, iнше програмне забезпечення.</w:t>
      </w:r>
      <w:r>
        <w:rPr>
          <w:rFonts w:ascii="Times New Roman CYR" w:hAnsi="Times New Roman CYR" w:cs="Times New Roman CYR"/>
          <w:sz w:val="24"/>
          <w:szCs w:val="24"/>
        </w:rPr>
        <w:tab/>
        <w:t>4</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нематерiальнi активи</w:t>
      </w:r>
      <w:r>
        <w:rPr>
          <w:rFonts w:ascii="Times New Roman CYR" w:hAnsi="Times New Roman CYR" w:cs="Times New Roman CYR"/>
          <w:sz w:val="24"/>
          <w:szCs w:val="24"/>
        </w:rPr>
        <w:tab/>
        <w:t>4</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Лiцензiї на впровадження страхової дiяльностi</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Лiцензiї на впровадження страхової дiяльностi  є активами з невизначеним строком використання, тому їх облiк здiйснюється без нарахування амортизацiї.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3.6. Iнвестицiйна нерухомiсть. Одиницею облiку iнвестицiйної нерухомостi є земля чи будiвля або част</w:t>
      </w:r>
      <w:r>
        <w:rPr>
          <w:rFonts w:ascii="Times New Roman CYR" w:hAnsi="Times New Roman CYR" w:cs="Times New Roman CYR"/>
          <w:sz w:val="24"/>
          <w:szCs w:val="24"/>
        </w:rPr>
        <w:t xml:space="preserve">ина будiвлi, або земля i будiвля, що перебувають у розпорядженнi власника або лiзингоодержувача за договором про фiнансовий лiзинг (оренду) з метою отримання орендних платежiв, доходiв вiд зростання капiталу або того чи iншого, а не для надання послуг або </w:t>
      </w:r>
      <w:r>
        <w:rPr>
          <w:rFonts w:ascii="Times New Roman CYR" w:hAnsi="Times New Roman CYR" w:cs="Times New Roman CYR"/>
          <w:sz w:val="24"/>
          <w:szCs w:val="24"/>
        </w:rPr>
        <w:t xml:space="preserve">адмiнiстративних цiлей. До iнвестицiйної нерухомостi належать: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 земля, що утримується з метою отримання вигоди вiд зростання капiталу в довгостроковiй перспективi, а не для реалiзацiї в короткостроковiй перспективi в процесi дiяльностi;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земля, п</w:t>
      </w:r>
      <w:r>
        <w:rPr>
          <w:rFonts w:ascii="Times New Roman CYR" w:hAnsi="Times New Roman CYR" w:cs="Times New Roman CYR"/>
          <w:sz w:val="24"/>
          <w:szCs w:val="24"/>
        </w:rPr>
        <w:t xml:space="preserve">одальше використання якої на цей час не визначено;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будiвля, що перебуває у власностi компанiї або в розпорядженнi за договором про фiнансовий лiзинг (оренду) та надається в лiзинг (оренду) за одним або кiлькома договорами про оперативний лiзинг (орен</w:t>
      </w:r>
      <w:r>
        <w:rPr>
          <w:rFonts w:ascii="Times New Roman CYR" w:hAnsi="Times New Roman CYR" w:cs="Times New Roman CYR"/>
          <w:sz w:val="24"/>
          <w:szCs w:val="24"/>
        </w:rPr>
        <w:t xml:space="preserve">ду);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 будiвля, що не зайнята на цей час та призначена для надання в лiзинг (оренду) за одним або кiлькома договорами про оперативний лiзинг (оренду).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Пiд час первiсного визнання iнвестицiйної нерухомостi Компанiя оцiнює її за первiсною вартiстю, яка</w:t>
      </w:r>
      <w:r>
        <w:rPr>
          <w:rFonts w:ascii="Times New Roman CYR" w:hAnsi="Times New Roman CYR" w:cs="Times New Roman CYR"/>
          <w:sz w:val="24"/>
          <w:szCs w:val="24"/>
        </w:rPr>
        <w:t xml:space="preserve"> включає цiну придбання цiєї нерухомостi та всi витрати, що безпосередньо пов'язанi з її придбанням. Пiсля первiсного визнання об'єкта iнвестицiйної нерухомостi подальшу його оцiнку Компанiя здiйснює за  переоцiненою вартiстю, яка являє собою справедливу в</w:t>
      </w:r>
      <w:r>
        <w:rPr>
          <w:rFonts w:ascii="Times New Roman CYR" w:hAnsi="Times New Roman CYR" w:cs="Times New Roman CYR"/>
          <w:sz w:val="24"/>
          <w:szCs w:val="24"/>
        </w:rPr>
        <w:t>артiсть на дату переоцiнки та визначається на основi ринкових даних за допомогою незалежних оцiнювачiв. Переоцiнка здiйснюється з достатньою регулярнiстю таким чином , щоб балансова вартiсть iнвестицiйної нерухомостi не вiдрiзнялась iстотно вiд вартостi, я</w:t>
      </w:r>
      <w:r>
        <w:rPr>
          <w:rFonts w:ascii="Times New Roman CYR" w:hAnsi="Times New Roman CYR" w:cs="Times New Roman CYR"/>
          <w:sz w:val="24"/>
          <w:szCs w:val="24"/>
        </w:rPr>
        <w:t>ка була б визначена з використанням справедливої вартостi на звiтну дату. Прибутки або збитки, якi виникають у результатi змiни справедливої вартостi iнвестицiйної нерухомостi, включаються до складу прибутку або збитку того перiоду, у якому вони виникають.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3.7. Оренда. Договiр в цiлому, або його окремi компоненти є договором оренди, якщо за цим договором передається право користування iдентифiкованого активу протягом певного перiоду в обмiн на вiдшкодування. У випадку, якщо вiдбувається змiна в умовах до</w:t>
      </w:r>
      <w:r>
        <w:rPr>
          <w:rFonts w:ascii="Times New Roman CYR" w:hAnsi="Times New Roman CYR" w:cs="Times New Roman CYR"/>
          <w:sz w:val="24"/>
          <w:szCs w:val="24"/>
        </w:rPr>
        <w:t>говору оренди,  то Компанiя проводить повторну оцiнку договору.  На дату початку оренди, Компанiя як орендар, визнає актив у формi права користування та зобов'язання з оренди.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Товариство розглядає можливiсть визнати малоцiнними об'єкти оренди, справедлив</w:t>
      </w:r>
      <w:r>
        <w:rPr>
          <w:rFonts w:ascii="Times New Roman CYR" w:hAnsi="Times New Roman CYR" w:cs="Times New Roman CYR"/>
          <w:sz w:val="24"/>
          <w:szCs w:val="24"/>
        </w:rPr>
        <w:t xml:space="preserve">а вартiсть яких у новому станi становить вартiсть, яка менше  5% розмiру первiсної вартостi основних засобiв на звiтну дату. Короткостроковою є оренда до 12 мiсяцiв. По договорам з такими активами в момент укладення договору оренди активи та зобов'язанням </w:t>
      </w:r>
      <w:r>
        <w:rPr>
          <w:rFonts w:ascii="Times New Roman CYR" w:hAnsi="Times New Roman CYR" w:cs="Times New Roman CYR"/>
          <w:sz w:val="24"/>
          <w:szCs w:val="24"/>
        </w:rPr>
        <w:t>не визнаються. Витрати  вiдносяться на виробничi, адмiнiстративнi, збутовi та iншi витрати вiдповiдно до цiльового використання базових активiв Товариством по мiрi нарахування чергових платежiв до сплати.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3.8. Фiнансовi зобов'язання. Фiнансовi зобов'яза</w:t>
      </w:r>
      <w:r>
        <w:rPr>
          <w:rFonts w:ascii="Times New Roman CYR" w:hAnsi="Times New Roman CYR" w:cs="Times New Roman CYR"/>
          <w:sz w:val="24"/>
          <w:szCs w:val="24"/>
        </w:rPr>
        <w:t>ння визнаються коли Товариство стає стороною контрактних умов, що стосуються фiнансових зобов'язань.   Процентнi витрати, що пов'язанi з фiнансовими зобов'язаннями вiдображаються в складi процентних витрат.</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3.9. Податок на прибуток. Податок на прибуток вiдображаються у фiнансовiй звiтностi вiдповiдно до законодавства, прийнятого або фактично прийнятого до кiнця звiтного перiоду. Витрати або доходи з податку на прибуток включають поточний та вiдстрочений подат</w:t>
      </w:r>
      <w:r>
        <w:rPr>
          <w:rFonts w:ascii="Times New Roman CYR" w:hAnsi="Times New Roman CYR" w:cs="Times New Roman CYR"/>
          <w:sz w:val="24"/>
          <w:szCs w:val="24"/>
        </w:rPr>
        <w:t>ок та визнаються у складi прибуткiв або збиткiв за рiк, за винятком випадкiв, коли вони визнаються у складi iншого сукупного доходу або безпосередньо у складi власного капiталу, оскiльки вони  пов'язанi з угодами, якi також визнаються, у тому самому чи iнш</w:t>
      </w:r>
      <w:r>
        <w:rPr>
          <w:rFonts w:ascii="Times New Roman CYR" w:hAnsi="Times New Roman CYR" w:cs="Times New Roman CYR"/>
          <w:sz w:val="24"/>
          <w:szCs w:val="24"/>
        </w:rPr>
        <w:t xml:space="preserve">ому перiодi, у складi iншого сукупного доходу або безпосередньо у складi власного капiталу.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Вiдстрочений податок на прибуток обчислюється з використанням методу балансових зобов'язань для перенесених податкових збиткiв та тимчасових рiзниць, що виникають</w:t>
      </w:r>
      <w:r>
        <w:rPr>
          <w:rFonts w:ascii="Times New Roman CYR" w:hAnsi="Times New Roman CYR" w:cs="Times New Roman CYR"/>
          <w:sz w:val="24"/>
          <w:szCs w:val="24"/>
        </w:rPr>
        <w:t xml:space="preserve"> мiж податковими базами активiв та зобов'язань та їх балансовою вартiстю для цiлей фiнансової звiтностi. Залишки вiдстрочених податкових активiв та зобов'язань оцiнюються за податковими ставками, затвердженими або фактично затвердженими наприкiнцi звiтного</w:t>
      </w:r>
      <w:r>
        <w:rPr>
          <w:rFonts w:ascii="Times New Roman CYR" w:hAnsi="Times New Roman CYR" w:cs="Times New Roman CYR"/>
          <w:sz w:val="24"/>
          <w:szCs w:val="24"/>
        </w:rPr>
        <w:t xml:space="preserve"> перiоду, якi повиннi застосуватися до перiоду, коли будуть перекласифiкованi тимчасовi рiзницi або коли будуть використанi перенесенi податковi збитки. Вiдстрочений податковий актив для тимчасових рiзниць, що пiдлягають вирахуванню, та перенесених податко</w:t>
      </w:r>
      <w:r>
        <w:rPr>
          <w:rFonts w:ascii="Times New Roman CYR" w:hAnsi="Times New Roman CYR" w:cs="Times New Roman CYR"/>
          <w:sz w:val="24"/>
          <w:szCs w:val="24"/>
        </w:rPr>
        <w:t xml:space="preserve">вих збиткiв облiковується лише у разi, якщо є вiрогiднiсть того, що буде доступним майбутнiй оподатковуваний прибуток, за яким можуть бути реалiзованi вирахування.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Вiдстроченi податки в  Компанiя не нараховувала.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Згiдно законодавства ставка податку на п</w:t>
      </w:r>
      <w:r>
        <w:rPr>
          <w:rFonts w:ascii="Times New Roman CYR" w:hAnsi="Times New Roman CYR" w:cs="Times New Roman CYR"/>
          <w:sz w:val="24"/>
          <w:szCs w:val="24"/>
        </w:rPr>
        <w:t>рибуток в 2022 роцi становила 18%, вiд страхової дiяльностi - 3%, 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3.10. Статутний капiтал та емiсiйний дохiд. Звичайнi акцiї за номiналом класифiкуються як власний капiтал. Будь-яка надмiрна сума справедливої вартостi винагороди, одержаної понад номiн</w:t>
      </w:r>
      <w:r>
        <w:rPr>
          <w:rFonts w:ascii="Times New Roman CYR" w:hAnsi="Times New Roman CYR" w:cs="Times New Roman CYR"/>
          <w:sz w:val="24"/>
          <w:szCs w:val="24"/>
        </w:rPr>
        <w:t xml:space="preserve">альну вартiсть випущених акцiй, облiковується як емiсiйний дохiд у складi власного капiталу.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3.11. Валюта вимiру та подання. Функцiональною валютою Компанiї є валюта основного економiчного середовища, в якому вона функцiонує. Функцiональною валютою та </w:t>
      </w:r>
      <w:r>
        <w:rPr>
          <w:rFonts w:ascii="Times New Roman CYR" w:hAnsi="Times New Roman CYR" w:cs="Times New Roman CYR"/>
          <w:sz w:val="24"/>
          <w:szCs w:val="24"/>
        </w:rPr>
        <w:t>валютою представлення звiтностi є нацiональна валюта України - гривня (надалi - "гривня" або "UAH"). Всi суми в звiтностi наведено в тисячах гривень.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3.12. Резерви. Компанiя формує i веде облiк таких технiчних резервiв за видами страхування: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 Резерв </w:t>
      </w:r>
      <w:r>
        <w:rPr>
          <w:rFonts w:ascii="Times New Roman CYR" w:hAnsi="Times New Roman CYR" w:cs="Times New Roman CYR"/>
          <w:sz w:val="24"/>
          <w:szCs w:val="24"/>
        </w:rPr>
        <w:t>незароблених премiй (резерви премiй), що включають частки вiд сум надходжень страхових платежiв (страхових внескiв, страхових премiй), що вiдповiдають страховим ризикам, якi не минули на звiтну дату. Величина резервiв незароблених премiй на будь-яку звiтну</w:t>
      </w:r>
      <w:r>
        <w:rPr>
          <w:rFonts w:ascii="Times New Roman CYR" w:hAnsi="Times New Roman CYR" w:cs="Times New Roman CYR"/>
          <w:sz w:val="24"/>
          <w:szCs w:val="24"/>
        </w:rPr>
        <w:t xml:space="preserve"> дату обчислюється в такому порядку: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страхуванням цивiльно-правової вiдповiдальностi власникiв транспортних засобiв - методом 1/365</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 всiма видами страхування, окрiм вищезазначеного - методом 1/24.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Величина резерву заявлених, але не виплачених збиткiв вiдповiдає сумi заявлених збиткiв у звiтному перiодi, збiльшенiй на суму не виплачених збиткiв на початок звiтного перiоду за попереднi перiоди, зменшенiй на суму виплачених збиткiв у звiтному перiод</w:t>
      </w:r>
      <w:r>
        <w:rPr>
          <w:rFonts w:ascii="Times New Roman CYR" w:hAnsi="Times New Roman CYR" w:cs="Times New Roman CYR"/>
          <w:sz w:val="24"/>
          <w:szCs w:val="24"/>
        </w:rPr>
        <w:t>i плюс витрати на врегулювання збиткiв у розмiрi 3 вiдсоткiв вiд суми невиплачених збиткiв на кiнець звiтного перiоду.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Аналiтичний облiк резервiв здiйснюється за  видами страхування.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3.13. Перевiрка адекватностi страхових зобов'язань. Страхова компан</w:t>
      </w:r>
      <w:r>
        <w:rPr>
          <w:rFonts w:ascii="Times New Roman CYR" w:hAnsi="Times New Roman CYR" w:cs="Times New Roman CYR"/>
          <w:sz w:val="24"/>
          <w:szCs w:val="24"/>
        </w:rPr>
        <w:t xml:space="preserve">iя перевiряє на кiнець кожного звiтного перiоду, чи є її визнанi страховi зобов'язання адекватними.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Пiд перевiркою адекватностi зобов'язань необхiдно розумiти оцiнку необхiдностi збiльшення балансової вартостi страхового зобов'язання  на основi аналiзу </w:t>
      </w:r>
      <w:r>
        <w:rPr>
          <w:rFonts w:ascii="Times New Roman CYR" w:hAnsi="Times New Roman CYR" w:cs="Times New Roman CYR"/>
          <w:sz w:val="24"/>
          <w:szCs w:val="24"/>
        </w:rPr>
        <w:t xml:space="preserve">майбутнiх грошових потокiв.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ця оцiнка показує, що балансова вартiсть його страхових зобов'язань за вирахуванням вiдповiдних вiдстрочених аквiзицiйних витрат та вiдповiдних нематерiальних активiв, є неадекватною в контекстi розрахункових показникiв м</w:t>
      </w:r>
      <w:r>
        <w:rPr>
          <w:rFonts w:ascii="Times New Roman CYR" w:hAnsi="Times New Roman CYR" w:cs="Times New Roman CYR"/>
          <w:sz w:val="24"/>
          <w:szCs w:val="24"/>
        </w:rPr>
        <w:t>айбутнiх рухiв грошових коштiв, нестачу необхiдно повнiстю визнавати у звiтi про прибутки та збитки.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Страхова компанiя виключає страхове зобов'язання iз звiтностi  тiльки, коли воно погашене, тобто коли вказанi в договорi зобов'язання виконано, або анульо</w:t>
      </w:r>
      <w:r>
        <w:rPr>
          <w:rFonts w:ascii="Times New Roman CYR" w:hAnsi="Times New Roman CYR" w:cs="Times New Roman CYR"/>
          <w:sz w:val="24"/>
          <w:szCs w:val="24"/>
        </w:rPr>
        <w:t xml:space="preserve">вано, або  термiн його дiї закiнчився.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3.14. Iнформацiя за операцiйними сегментами. Компонент Компанiї розглядається як операцiйний сегмент лише, якщо по цьому компоненту є окрема фiнансова iнформацiя, яка дозволяє керiвництву приймати рiшення вiдносно</w:t>
      </w:r>
      <w:r>
        <w:rPr>
          <w:rFonts w:ascii="Times New Roman CYR" w:hAnsi="Times New Roman CYR" w:cs="Times New Roman CYR"/>
          <w:sz w:val="24"/>
          <w:szCs w:val="24"/>
        </w:rPr>
        <w:t xml:space="preserve"> розподiлу ресурсiв.  З огляду на це,  облiковими сегментами  Компанiї  є   види страхових продуктiв. Доходи та певнi витрати сегментiв регулярно аналiзуються  керiвництвом та вiдповiдна iнформацiя надається регуляторному органу. В той же  час, слiд зазнач</w:t>
      </w:r>
      <w:r>
        <w:rPr>
          <w:rFonts w:ascii="Times New Roman CYR" w:hAnsi="Times New Roman CYR" w:cs="Times New Roman CYR"/>
          <w:sz w:val="24"/>
          <w:szCs w:val="24"/>
        </w:rPr>
        <w:t>ити, що  iнформацiя про активи та зобов'язання в розрiзi сегментiв Компанiєю не розраховується, та не надається керiвному органу, який вiдповiдає за прийняття рiшень. Зважаючи на вiдсутнiсть такої iнформацiї та неефективнiсть її отримання,   iнформацiя про</w:t>
      </w:r>
      <w:r>
        <w:rPr>
          <w:rFonts w:ascii="Times New Roman CYR" w:hAnsi="Times New Roman CYR" w:cs="Times New Roman CYR"/>
          <w:sz w:val="24"/>
          <w:szCs w:val="24"/>
        </w:rPr>
        <w:t xml:space="preserve"> активи та зобов'язання сегментiв в звiтностi не наводиться.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Класи активiв та зобов'язань, оцiнених за справедливою вартiстю</w:t>
      </w:r>
      <w:r>
        <w:rPr>
          <w:rFonts w:ascii="Times New Roman CYR" w:hAnsi="Times New Roman CYR" w:cs="Times New Roman CYR"/>
          <w:sz w:val="24"/>
          <w:szCs w:val="24"/>
        </w:rPr>
        <w:tab/>
        <w:t>Методики оцiнювання</w:t>
      </w:r>
      <w:r>
        <w:rPr>
          <w:rFonts w:ascii="Times New Roman CYR" w:hAnsi="Times New Roman CYR" w:cs="Times New Roman CYR"/>
          <w:sz w:val="24"/>
          <w:szCs w:val="24"/>
        </w:rPr>
        <w:tab/>
        <w:t>Метод оцiнки (ринковий, дохiдний, витратний)</w:t>
      </w:r>
      <w:r>
        <w:rPr>
          <w:rFonts w:ascii="Times New Roman CYR" w:hAnsi="Times New Roman CYR" w:cs="Times New Roman CYR"/>
          <w:sz w:val="24"/>
          <w:szCs w:val="24"/>
        </w:rPr>
        <w:tab/>
        <w:t>Вихiднi данi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w:t>
      </w:r>
      <w:r>
        <w:rPr>
          <w:rFonts w:ascii="Times New Roman CYR" w:hAnsi="Times New Roman CYR" w:cs="Times New Roman CYR"/>
          <w:sz w:val="24"/>
          <w:szCs w:val="24"/>
        </w:rPr>
        <w:tab/>
        <w:t>Первiсна та подаль</w:t>
      </w:r>
      <w:r>
        <w:rPr>
          <w:rFonts w:ascii="Times New Roman CYR" w:hAnsi="Times New Roman CYR" w:cs="Times New Roman CYR"/>
          <w:sz w:val="24"/>
          <w:szCs w:val="24"/>
        </w:rPr>
        <w:t>ша оцiнка грошових коштiв та їх еквiвалентiв здiйснюється за справедливою вартiстю, яка дорiвнює їх номiнальнiй вартостi</w:t>
      </w:r>
      <w:r>
        <w:rPr>
          <w:rFonts w:ascii="Times New Roman CYR" w:hAnsi="Times New Roman CYR" w:cs="Times New Roman CYR"/>
          <w:sz w:val="24"/>
          <w:szCs w:val="24"/>
        </w:rPr>
        <w:tab/>
        <w:t>Ринковий</w:t>
      </w:r>
      <w:r>
        <w:rPr>
          <w:rFonts w:ascii="Times New Roman CYR" w:hAnsi="Times New Roman CYR" w:cs="Times New Roman CYR"/>
          <w:sz w:val="24"/>
          <w:szCs w:val="24"/>
        </w:rPr>
        <w:tab/>
        <w:t>Офiцiйнi курси НБУ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Депозити (крiм депозитiв до запитання)</w:t>
      </w:r>
      <w:r>
        <w:rPr>
          <w:rFonts w:ascii="Times New Roman CYR" w:hAnsi="Times New Roman CYR" w:cs="Times New Roman CYR"/>
          <w:sz w:val="24"/>
          <w:szCs w:val="24"/>
        </w:rPr>
        <w:tab/>
        <w:t>Первiсна оцiнка депозиту здiйснюється за його справедливою вартiстю</w:t>
      </w:r>
      <w:r>
        <w:rPr>
          <w:rFonts w:ascii="Times New Roman CYR" w:hAnsi="Times New Roman CYR" w:cs="Times New Roman CYR"/>
          <w:sz w:val="24"/>
          <w:szCs w:val="24"/>
        </w:rPr>
        <w:t>, яка зазвичай дорiвнює його номiнальнiй вартостi. Подальша оцiнка депозитiв у нацiональнiй валютi здiйснюється за справедливою вартiстю очiкуваних грошових потокiв</w:t>
      </w:r>
      <w:r>
        <w:rPr>
          <w:rFonts w:ascii="Times New Roman CYR" w:hAnsi="Times New Roman CYR" w:cs="Times New Roman CYR"/>
          <w:sz w:val="24"/>
          <w:szCs w:val="24"/>
        </w:rPr>
        <w:tab/>
        <w:t>Дохiдний (дисконтування грошових потокiв)</w:t>
      </w:r>
      <w:r>
        <w:rPr>
          <w:rFonts w:ascii="Times New Roman CYR" w:hAnsi="Times New Roman CYR" w:cs="Times New Roman CYR"/>
          <w:sz w:val="24"/>
          <w:szCs w:val="24"/>
        </w:rPr>
        <w:tab/>
        <w:t>Ставки за депозитами, ефективнi ставки за депозит</w:t>
      </w:r>
      <w:r>
        <w:rPr>
          <w:rFonts w:ascii="Times New Roman CYR" w:hAnsi="Times New Roman CYR" w:cs="Times New Roman CYR"/>
          <w:sz w:val="24"/>
          <w:szCs w:val="24"/>
        </w:rPr>
        <w:t>ними договорами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Борговi цiннi папери</w:t>
      </w:r>
      <w:r>
        <w:rPr>
          <w:rFonts w:ascii="Times New Roman CYR" w:hAnsi="Times New Roman CYR" w:cs="Times New Roman CYR"/>
          <w:sz w:val="24"/>
          <w:szCs w:val="24"/>
        </w:rPr>
        <w:tab/>
        <w:t>Первiсна оцiнка боргових цiнних паперiв як фiнансових активiв здiйснюється за справедливою вартiстю, яка зазвичай дорiвнює цiнi операцiї, в ходi якої був отриманий актив. Подальша оцiнка боргових цiнних паперiв здiйсню</w:t>
      </w:r>
      <w:r>
        <w:rPr>
          <w:rFonts w:ascii="Times New Roman CYR" w:hAnsi="Times New Roman CYR" w:cs="Times New Roman CYR"/>
          <w:sz w:val="24"/>
          <w:szCs w:val="24"/>
        </w:rPr>
        <w:t>ється за справедливою вартiстю.</w:t>
      </w:r>
      <w:r>
        <w:rPr>
          <w:rFonts w:ascii="Times New Roman CYR" w:hAnsi="Times New Roman CYR" w:cs="Times New Roman CYR"/>
          <w:sz w:val="24"/>
          <w:szCs w:val="24"/>
        </w:rPr>
        <w:tab/>
        <w:t xml:space="preserve">Ринковий, дохiдний </w:t>
      </w:r>
      <w:r>
        <w:rPr>
          <w:rFonts w:ascii="Times New Roman CYR" w:hAnsi="Times New Roman CYR" w:cs="Times New Roman CYR"/>
          <w:sz w:val="24"/>
          <w:szCs w:val="24"/>
        </w:rPr>
        <w:tab/>
        <w:t>Офiцiйнi бiржовi курси органiзаторiв торгiв на дату оцiнки, котирування аналогiчних боргових цiнних паперiв, дисконтованi потоки грошових коштiв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Iнструменти капiталу</w:t>
      </w:r>
      <w:r>
        <w:rPr>
          <w:rFonts w:ascii="Times New Roman CYR" w:hAnsi="Times New Roman CYR" w:cs="Times New Roman CYR"/>
          <w:sz w:val="24"/>
          <w:szCs w:val="24"/>
        </w:rPr>
        <w:tab/>
        <w:t>Первiсна оцiнка iнструментiв капiталу</w:t>
      </w:r>
      <w:r>
        <w:rPr>
          <w:rFonts w:ascii="Times New Roman CYR" w:hAnsi="Times New Roman CYR" w:cs="Times New Roman CYR"/>
          <w:sz w:val="24"/>
          <w:szCs w:val="24"/>
        </w:rPr>
        <w:t xml:space="preserve"> здiйснюється за їх справедливою вартiстю, яка зазвичай дорiвнює цiнi операцiї, в ходi якої був отриманий актив. Подальша оцiнка iнструментiв капiталу здiйснюється за справедливою вартiстю на дату оцiнки.</w:t>
      </w:r>
      <w:r>
        <w:rPr>
          <w:rFonts w:ascii="Times New Roman CYR" w:hAnsi="Times New Roman CYR" w:cs="Times New Roman CYR"/>
          <w:sz w:val="24"/>
          <w:szCs w:val="24"/>
        </w:rPr>
        <w:tab/>
        <w:t>Ринковий, дохiдний</w:t>
      </w:r>
      <w:r>
        <w:rPr>
          <w:rFonts w:ascii="Times New Roman CYR" w:hAnsi="Times New Roman CYR" w:cs="Times New Roman CYR"/>
          <w:sz w:val="24"/>
          <w:szCs w:val="24"/>
        </w:rPr>
        <w:tab/>
        <w:t>Офiцiйнi бiржовi курси органiзат</w:t>
      </w:r>
      <w:r>
        <w:rPr>
          <w:rFonts w:ascii="Times New Roman CYR" w:hAnsi="Times New Roman CYR" w:cs="Times New Roman CYR"/>
          <w:sz w:val="24"/>
          <w:szCs w:val="24"/>
        </w:rPr>
        <w:t>орiв торгiв на дату оцiнки, за вiдсутностi визначеного бiржового курсу на дату оцiнки, використовується остання балансова вартiсть, цiни закриття бiржового торгового дня, iнформацiя з позабiржового ринку.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w:t>
      </w:r>
      <w:r>
        <w:rPr>
          <w:rFonts w:ascii="Times New Roman CYR" w:hAnsi="Times New Roman CYR" w:cs="Times New Roman CYR"/>
          <w:sz w:val="24"/>
          <w:szCs w:val="24"/>
        </w:rPr>
        <w:tab/>
        <w:t>Первiсна та подальша оцiнка дебiторської заборгованостi здiйснюється за справедливою вартiстю, яка дорiвнює вартостi погашення, тобто сумi очiкуваних контрактних грошових потокiв на дату оцiнки.</w:t>
      </w:r>
      <w:r>
        <w:rPr>
          <w:rFonts w:ascii="Times New Roman CYR" w:hAnsi="Times New Roman CYR" w:cs="Times New Roman CYR"/>
          <w:sz w:val="24"/>
          <w:szCs w:val="24"/>
        </w:rPr>
        <w:tab/>
        <w:t>Дохiдний</w:t>
      </w:r>
      <w:r>
        <w:rPr>
          <w:rFonts w:ascii="Times New Roman CYR" w:hAnsi="Times New Roman CYR" w:cs="Times New Roman CYR"/>
          <w:sz w:val="24"/>
          <w:szCs w:val="24"/>
        </w:rPr>
        <w:tab/>
        <w:t>Контрактнi умови, ймовiрн</w:t>
      </w:r>
      <w:r>
        <w:rPr>
          <w:rFonts w:ascii="Times New Roman CYR" w:hAnsi="Times New Roman CYR" w:cs="Times New Roman CYR"/>
          <w:sz w:val="24"/>
          <w:szCs w:val="24"/>
        </w:rPr>
        <w:t>iсть погашення, очiкуванi вхiднi грошовi потоки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Iнвестицiйна нерухомiсть </w:t>
      </w:r>
      <w:r>
        <w:rPr>
          <w:rFonts w:ascii="Times New Roman CYR" w:hAnsi="Times New Roman CYR" w:cs="Times New Roman CYR"/>
          <w:sz w:val="24"/>
          <w:szCs w:val="24"/>
        </w:rPr>
        <w:tab/>
        <w:t>Первiсна оцiнка iнвестицiйної нерухомостi здiйснюється за собiвартiстю. Подальша оцiнка iнвестицiйної нерухомостi здiйснюється за справедливою вартiстю на дату оцiнки.</w:t>
      </w:r>
      <w:r>
        <w:rPr>
          <w:rFonts w:ascii="Times New Roman CYR" w:hAnsi="Times New Roman CYR" w:cs="Times New Roman CYR"/>
          <w:sz w:val="24"/>
          <w:szCs w:val="24"/>
        </w:rPr>
        <w:tab/>
        <w:t>Ринковий, дох</w:t>
      </w:r>
      <w:r>
        <w:rPr>
          <w:rFonts w:ascii="Times New Roman CYR" w:hAnsi="Times New Roman CYR" w:cs="Times New Roman CYR"/>
          <w:sz w:val="24"/>
          <w:szCs w:val="24"/>
        </w:rPr>
        <w:t>iдний, витратний</w:t>
      </w:r>
      <w:r>
        <w:rPr>
          <w:rFonts w:ascii="Times New Roman CYR" w:hAnsi="Times New Roman CYR" w:cs="Times New Roman CYR"/>
          <w:sz w:val="24"/>
          <w:szCs w:val="24"/>
        </w:rPr>
        <w:tab/>
        <w:t>Цiни на ринку нерухомостi; данi оцiнки професiйних оцiнювачiв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нерухомiсть, земельнi дiлянки)</w:t>
      </w:r>
      <w:r>
        <w:rPr>
          <w:rFonts w:ascii="Times New Roman CYR" w:hAnsi="Times New Roman CYR" w:cs="Times New Roman CYR"/>
          <w:sz w:val="24"/>
          <w:szCs w:val="24"/>
        </w:rPr>
        <w:tab/>
        <w:t>Первiсна оцiнка основних засобiв здiйснюється за собiвартiстю. Подальша оцiнка основних засобiв (нерухомiсть, земельнi дiлянки)</w:t>
      </w:r>
      <w:r>
        <w:rPr>
          <w:rFonts w:ascii="Times New Roman CYR" w:hAnsi="Times New Roman CYR" w:cs="Times New Roman CYR"/>
          <w:sz w:val="24"/>
          <w:szCs w:val="24"/>
        </w:rPr>
        <w:t xml:space="preserve"> здiйснюється за справедливою вартiстю на дату оцiнки.</w:t>
      </w:r>
      <w:r>
        <w:rPr>
          <w:rFonts w:ascii="Times New Roman CYR" w:hAnsi="Times New Roman CYR" w:cs="Times New Roman CYR"/>
          <w:sz w:val="24"/>
          <w:szCs w:val="24"/>
        </w:rPr>
        <w:tab/>
        <w:t>Ринковий, дохiдний, витратний</w:t>
      </w:r>
      <w:r>
        <w:rPr>
          <w:rFonts w:ascii="Times New Roman CYR" w:hAnsi="Times New Roman CYR" w:cs="Times New Roman CYR"/>
          <w:sz w:val="24"/>
          <w:szCs w:val="24"/>
        </w:rPr>
        <w:tab/>
        <w:t>Цiни на ринку нерухомостi; данi оцiнки професiйних оцiнювачiв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Поточнi зобов'язання</w:t>
      </w:r>
      <w:r>
        <w:rPr>
          <w:rFonts w:ascii="Times New Roman CYR" w:hAnsi="Times New Roman CYR" w:cs="Times New Roman CYR"/>
          <w:sz w:val="24"/>
          <w:szCs w:val="24"/>
        </w:rPr>
        <w:tab/>
        <w:t>Первiсна та подальша оцiнка поточних зобов'язань здiйснюється за вартiстю погашення</w:t>
      </w:r>
      <w:r>
        <w:rPr>
          <w:rFonts w:ascii="Times New Roman CYR" w:hAnsi="Times New Roman CYR" w:cs="Times New Roman CYR"/>
          <w:sz w:val="24"/>
          <w:szCs w:val="24"/>
        </w:rPr>
        <w:tab/>
        <w:t>Вит</w:t>
      </w:r>
      <w:r>
        <w:rPr>
          <w:rFonts w:ascii="Times New Roman CYR" w:hAnsi="Times New Roman CYR" w:cs="Times New Roman CYR"/>
          <w:sz w:val="24"/>
          <w:szCs w:val="24"/>
        </w:rPr>
        <w:t>ратний</w:t>
      </w:r>
      <w:r>
        <w:rPr>
          <w:rFonts w:ascii="Times New Roman CYR" w:hAnsi="Times New Roman CYR" w:cs="Times New Roman CYR"/>
          <w:sz w:val="24"/>
          <w:szCs w:val="24"/>
        </w:rPr>
        <w:tab/>
        <w:t>Контрактнi умови, ймовiрнiсть погашення, очiкуванi вихiднi грошовi потоки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3.15. Суттєвiсть. Суттєвiсть - пропуск або викривлення статей є суттєвим, якщо вони можуть (окремо чи в сукупностi) впливати на економiчнi рiшення, якi приймають користувач</w:t>
      </w:r>
      <w:r>
        <w:rPr>
          <w:rFonts w:ascii="Times New Roman CYR" w:hAnsi="Times New Roman CYR" w:cs="Times New Roman CYR"/>
          <w:sz w:val="24"/>
          <w:szCs w:val="24"/>
        </w:rPr>
        <w:t xml:space="preserve">i на основi фiнансової звiтностi. Суттєвiсть залежить вiд розмiру чи характеру пропуску чи викривлення, що оцiнюється за конкретних обставин. Визначальним може бути як розмiр або характер статтi, так i поєднання статей.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Ефект змiн в облiковiй полiти</w:t>
      </w:r>
      <w:r>
        <w:rPr>
          <w:rFonts w:ascii="Times New Roman CYR" w:hAnsi="Times New Roman CYR" w:cs="Times New Roman CYR"/>
          <w:sz w:val="24"/>
          <w:szCs w:val="24"/>
        </w:rPr>
        <w:t xml:space="preserve">цi, облiкових оцiнках та виправлення суттєвих помилок.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звiтностi за 1 квартал  2023 рiк . виправлення  суттєвих помилок не здiйснювалось. Облiкова полiтика протягом року не змiнювалася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Розкриття iнформацiї щодо використання справедливої вартостi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.1. Методики оцiнювання та вхiднi данi, використанi для складання оцiнок за справедливою вартiстю. Товариство здiйснює виключно безперервнi оцiнки справедливої вартостi активiв та зобов'язань, тобто такi оцiнки, якi вимагаються МСБО 39 та МСФЗ 13 у звiтi п</w:t>
      </w:r>
      <w:r>
        <w:rPr>
          <w:rFonts w:ascii="Times New Roman CYR" w:hAnsi="Times New Roman CYR" w:cs="Times New Roman CYR"/>
          <w:sz w:val="24"/>
          <w:szCs w:val="24"/>
        </w:rPr>
        <w:t>ро фiнансовий стан на кiнець кожного звiтного перiоду.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5.2. Рiвень iєрархiї справедливої вартостi, до якого належать оцiнки справедливої вартостi.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Таб.5.2</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Класи активiв та зобов'язань, оцiнених за справедливою вартiстю</w:t>
      </w:r>
      <w:r>
        <w:rPr>
          <w:rFonts w:ascii="Times New Roman CYR" w:hAnsi="Times New Roman CYR" w:cs="Times New Roman CYR"/>
          <w:sz w:val="24"/>
          <w:szCs w:val="24"/>
        </w:rPr>
        <w:tab/>
        <w:t>1 рiвень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(тi, що мають котирування, та спостережуванi)</w:t>
      </w:r>
      <w:r>
        <w:rPr>
          <w:rFonts w:ascii="Times New Roman CYR" w:hAnsi="Times New Roman CYR" w:cs="Times New Roman CYR"/>
          <w:sz w:val="24"/>
          <w:szCs w:val="24"/>
        </w:rPr>
        <w:tab/>
        <w:t>2 рiвень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(тi, що не мають котирувань, але спостережуванi)</w:t>
      </w:r>
      <w:r>
        <w:rPr>
          <w:rFonts w:ascii="Times New Roman CYR" w:hAnsi="Times New Roman CYR" w:cs="Times New Roman CYR"/>
          <w:sz w:val="24"/>
          <w:szCs w:val="24"/>
        </w:rPr>
        <w:tab/>
        <w:t>3 рiвень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(тi, що не мають котирувань i не є спостережу-ваними)</w:t>
      </w:r>
      <w:r>
        <w:rPr>
          <w:rFonts w:ascii="Times New Roman CYR" w:hAnsi="Times New Roman CYR" w:cs="Times New Roman CYR"/>
          <w:sz w:val="24"/>
          <w:szCs w:val="24"/>
        </w:rPr>
        <w:tab/>
        <w:t>Усього</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2022</w:t>
      </w:r>
      <w:r>
        <w:rPr>
          <w:rFonts w:ascii="Times New Roman CYR" w:hAnsi="Times New Roman CYR" w:cs="Times New Roman CYR"/>
          <w:sz w:val="24"/>
          <w:szCs w:val="24"/>
        </w:rPr>
        <w:tab/>
        <w:t>2023</w:t>
      </w:r>
      <w:r>
        <w:rPr>
          <w:rFonts w:ascii="Times New Roman CYR" w:hAnsi="Times New Roman CYR" w:cs="Times New Roman CYR"/>
          <w:sz w:val="24"/>
          <w:szCs w:val="24"/>
        </w:rPr>
        <w:tab/>
        <w:t>2022</w:t>
      </w:r>
      <w:r>
        <w:rPr>
          <w:rFonts w:ascii="Times New Roman CYR" w:hAnsi="Times New Roman CYR" w:cs="Times New Roman CYR"/>
          <w:sz w:val="24"/>
          <w:szCs w:val="24"/>
        </w:rPr>
        <w:tab/>
        <w:t>2023</w:t>
      </w:r>
      <w:r>
        <w:rPr>
          <w:rFonts w:ascii="Times New Roman CYR" w:hAnsi="Times New Roman CYR" w:cs="Times New Roman CYR"/>
          <w:sz w:val="24"/>
          <w:szCs w:val="24"/>
        </w:rPr>
        <w:tab/>
        <w:t>2022</w:t>
      </w:r>
      <w:r>
        <w:rPr>
          <w:rFonts w:ascii="Times New Roman CYR" w:hAnsi="Times New Roman CYR" w:cs="Times New Roman CYR"/>
          <w:sz w:val="24"/>
          <w:szCs w:val="24"/>
        </w:rPr>
        <w:tab/>
        <w:t>2023</w:t>
      </w:r>
      <w:r>
        <w:rPr>
          <w:rFonts w:ascii="Times New Roman CYR" w:hAnsi="Times New Roman CYR" w:cs="Times New Roman CYR"/>
          <w:sz w:val="24"/>
          <w:szCs w:val="24"/>
        </w:rPr>
        <w:tab/>
        <w:t>2022</w:t>
      </w:r>
      <w:r>
        <w:rPr>
          <w:rFonts w:ascii="Times New Roman CYR" w:hAnsi="Times New Roman CYR" w:cs="Times New Roman CYR"/>
          <w:sz w:val="24"/>
          <w:szCs w:val="24"/>
        </w:rPr>
        <w:tab/>
        <w:t>2021</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Дата оцiнки</w:t>
      </w:r>
      <w:r>
        <w:rPr>
          <w:rFonts w:ascii="Times New Roman CYR" w:hAnsi="Times New Roman CYR" w:cs="Times New Roman CYR"/>
          <w:sz w:val="24"/>
          <w:szCs w:val="24"/>
        </w:rPr>
        <w:tab/>
        <w:t>31.12.22</w:t>
      </w:r>
      <w:r>
        <w:rPr>
          <w:rFonts w:ascii="Times New Roman CYR" w:hAnsi="Times New Roman CYR" w:cs="Times New Roman CYR"/>
          <w:sz w:val="24"/>
          <w:szCs w:val="24"/>
        </w:rPr>
        <w:tab/>
        <w:t>31.03.23</w:t>
      </w:r>
      <w:r>
        <w:rPr>
          <w:rFonts w:ascii="Times New Roman CYR" w:hAnsi="Times New Roman CYR" w:cs="Times New Roman CYR"/>
          <w:sz w:val="24"/>
          <w:szCs w:val="24"/>
        </w:rPr>
        <w:tab/>
        <w:t>31.12.2</w:t>
      </w:r>
      <w:r>
        <w:rPr>
          <w:rFonts w:ascii="Times New Roman CYR" w:hAnsi="Times New Roman CYR" w:cs="Times New Roman CYR"/>
          <w:sz w:val="24"/>
          <w:szCs w:val="24"/>
        </w:rPr>
        <w:t>2</w:t>
      </w:r>
      <w:r>
        <w:rPr>
          <w:rFonts w:ascii="Times New Roman CYR" w:hAnsi="Times New Roman CYR" w:cs="Times New Roman CYR"/>
          <w:sz w:val="24"/>
          <w:szCs w:val="24"/>
        </w:rPr>
        <w:tab/>
        <w:t>31.03.23</w:t>
      </w:r>
      <w:r>
        <w:rPr>
          <w:rFonts w:ascii="Times New Roman CYR" w:hAnsi="Times New Roman CYR" w:cs="Times New Roman CYR"/>
          <w:sz w:val="24"/>
          <w:szCs w:val="24"/>
        </w:rPr>
        <w:tab/>
        <w:t>31.12.22</w:t>
      </w:r>
      <w:r>
        <w:rPr>
          <w:rFonts w:ascii="Times New Roman CYR" w:hAnsi="Times New Roman CYR" w:cs="Times New Roman CYR"/>
          <w:sz w:val="24"/>
          <w:szCs w:val="24"/>
        </w:rPr>
        <w:tab/>
        <w:t>31.03.23</w:t>
      </w:r>
      <w:r>
        <w:rPr>
          <w:rFonts w:ascii="Times New Roman CYR" w:hAnsi="Times New Roman CYR" w:cs="Times New Roman CYR"/>
          <w:sz w:val="24"/>
          <w:szCs w:val="24"/>
        </w:rPr>
        <w:tab/>
        <w:t>31.12.22</w:t>
      </w:r>
      <w:r>
        <w:rPr>
          <w:rFonts w:ascii="Times New Roman CYR" w:hAnsi="Times New Roman CYR" w:cs="Times New Roman CYR"/>
          <w:sz w:val="24"/>
          <w:szCs w:val="24"/>
        </w:rPr>
        <w:tab/>
        <w:t>31.03.23</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Земельнi дiлянки у складi iнвестицiйна нерухомiсть</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25 490,0</w:t>
      </w:r>
      <w:r>
        <w:rPr>
          <w:rFonts w:ascii="Times New Roman CYR" w:hAnsi="Times New Roman CYR" w:cs="Times New Roman CYR"/>
          <w:sz w:val="24"/>
          <w:szCs w:val="24"/>
        </w:rPr>
        <w:tab/>
        <w:t>25 490,0</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25 490,0</w:t>
      </w:r>
      <w:r>
        <w:rPr>
          <w:rFonts w:ascii="Times New Roman CYR" w:hAnsi="Times New Roman CYR" w:cs="Times New Roman CYR"/>
          <w:sz w:val="24"/>
          <w:szCs w:val="24"/>
        </w:rPr>
        <w:tab/>
        <w:t>25 490,0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Нерухоме майно у складi iнвестицiйна нерухомiсть</w:t>
      </w:r>
      <w:r>
        <w:rPr>
          <w:rFonts w:ascii="Times New Roman CYR" w:hAnsi="Times New Roman CYR" w:cs="Times New Roman CYR"/>
          <w:sz w:val="24"/>
          <w:szCs w:val="24"/>
        </w:rPr>
        <w:tab/>
        <w:t>6 070,00</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6 070,00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6 070,00</w:t>
      </w:r>
      <w:r>
        <w:rPr>
          <w:rFonts w:ascii="Times New Roman CYR" w:hAnsi="Times New Roman CYR" w:cs="Times New Roman CYR"/>
          <w:sz w:val="24"/>
          <w:szCs w:val="24"/>
        </w:rPr>
        <w:tab/>
        <w:t>6 070,00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Земельнi дiлян</w:t>
      </w:r>
      <w:r>
        <w:rPr>
          <w:rFonts w:ascii="Times New Roman CYR" w:hAnsi="Times New Roman CYR" w:cs="Times New Roman CYR"/>
          <w:sz w:val="24"/>
          <w:szCs w:val="24"/>
        </w:rPr>
        <w:t>ки у складi основних засобiв</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Нерухоме майно у складi основних засобiв</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Iнвестицiї доступнi для продажу</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Iнвестицiї за справедливою вартiстю</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5.3. Iншi розкриття, що вимагаються МСФЗ 13 "Оцiнка  справедливої  вартостi".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Справедлива вартiсть фiнансових iнструментiв в порiвняннi з їх балансовою вартiстю</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Таб.5.3.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Балансова вартiсть</w:t>
      </w:r>
      <w:r>
        <w:rPr>
          <w:rFonts w:ascii="Times New Roman CYR" w:hAnsi="Times New Roman CYR" w:cs="Times New Roman CYR"/>
          <w:sz w:val="24"/>
          <w:szCs w:val="24"/>
        </w:rPr>
        <w:tab/>
        <w:t>Справедлива вартiсть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2022</w:t>
      </w:r>
      <w:r>
        <w:rPr>
          <w:rFonts w:ascii="Times New Roman CYR" w:hAnsi="Times New Roman CYR" w:cs="Times New Roman CYR"/>
          <w:sz w:val="24"/>
          <w:szCs w:val="24"/>
        </w:rPr>
        <w:tab/>
        <w:t>2023</w:t>
      </w:r>
      <w:r>
        <w:rPr>
          <w:rFonts w:ascii="Times New Roman CYR" w:hAnsi="Times New Roman CYR" w:cs="Times New Roman CYR"/>
          <w:sz w:val="24"/>
          <w:szCs w:val="24"/>
        </w:rPr>
        <w:tab/>
        <w:t>2022</w:t>
      </w:r>
      <w:r>
        <w:rPr>
          <w:rFonts w:ascii="Times New Roman CYR" w:hAnsi="Times New Roman CYR" w:cs="Times New Roman CYR"/>
          <w:sz w:val="24"/>
          <w:szCs w:val="24"/>
        </w:rPr>
        <w:tab/>
        <w:t>2023</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активи</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Iнвестицiї доступнi для продажу</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Iнвестицiї доступнi за справедливою вартiстю</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поточна дебiторська заборгованiсть</w:t>
      </w:r>
      <w:r>
        <w:rPr>
          <w:rFonts w:ascii="Times New Roman CYR" w:hAnsi="Times New Roman CYR" w:cs="Times New Roman CYR"/>
          <w:sz w:val="24"/>
          <w:szCs w:val="24"/>
        </w:rPr>
        <w:tab/>
        <w:t>5628,0</w:t>
      </w:r>
      <w:r>
        <w:rPr>
          <w:rFonts w:ascii="Times New Roman CYR" w:hAnsi="Times New Roman CYR" w:cs="Times New Roman CYR"/>
          <w:sz w:val="24"/>
          <w:szCs w:val="24"/>
        </w:rPr>
        <w:tab/>
        <w:t>5078,0</w:t>
      </w:r>
      <w:r>
        <w:rPr>
          <w:rFonts w:ascii="Times New Roman CYR" w:hAnsi="Times New Roman CYR" w:cs="Times New Roman CYR"/>
          <w:sz w:val="24"/>
          <w:szCs w:val="24"/>
        </w:rPr>
        <w:tab/>
        <w:t>5628,0</w:t>
      </w:r>
      <w:r>
        <w:rPr>
          <w:rFonts w:ascii="Times New Roman CYR" w:hAnsi="Times New Roman CYR" w:cs="Times New Roman CYR"/>
          <w:sz w:val="24"/>
          <w:szCs w:val="24"/>
        </w:rPr>
        <w:tab/>
        <w:t>5078,0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w:t>
      </w:r>
      <w:r>
        <w:rPr>
          <w:rFonts w:ascii="Times New Roman CYR" w:hAnsi="Times New Roman CYR" w:cs="Times New Roman CYR"/>
          <w:sz w:val="24"/>
          <w:szCs w:val="24"/>
        </w:rPr>
        <w:tab/>
        <w:t>6 943</w:t>
      </w:r>
      <w:r>
        <w:rPr>
          <w:rFonts w:ascii="Times New Roman CYR" w:hAnsi="Times New Roman CYR" w:cs="Times New Roman CYR"/>
          <w:sz w:val="24"/>
          <w:szCs w:val="24"/>
        </w:rPr>
        <w:tab/>
        <w:t>7969,0</w:t>
      </w:r>
      <w:r>
        <w:rPr>
          <w:rFonts w:ascii="Times New Roman CYR" w:hAnsi="Times New Roman CYR" w:cs="Times New Roman CYR"/>
          <w:sz w:val="24"/>
          <w:szCs w:val="24"/>
        </w:rPr>
        <w:tab/>
        <w:t>6 943</w:t>
      </w:r>
      <w:r>
        <w:rPr>
          <w:rFonts w:ascii="Times New Roman CYR" w:hAnsi="Times New Roman CYR" w:cs="Times New Roman CYR"/>
          <w:sz w:val="24"/>
          <w:szCs w:val="24"/>
        </w:rPr>
        <w:tab/>
        <w:t>7969,0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Торгiвельна кредиторська заборгованiсть</w:t>
      </w:r>
      <w:r>
        <w:rPr>
          <w:rFonts w:ascii="Times New Roman CYR" w:hAnsi="Times New Roman CYR" w:cs="Times New Roman CYR"/>
          <w:sz w:val="24"/>
          <w:szCs w:val="24"/>
        </w:rPr>
        <w:tab/>
        <w:t>134,0</w:t>
      </w:r>
      <w:r>
        <w:rPr>
          <w:rFonts w:ascii="Times New Roman CYR" w:hAnsi="Times New Roman CYR" w:cs="Times New Roman CYR"/>
          <w:sz w:val="24"/>
          <w:szCs w:val="24"/>
        </w:rPr>
        <w:tab/>
        <w:t>95,0</w:t>
      </w:r>
      <w:r>
        <w:rPr>
          <w:rFonts w:ascii="Times New Roman CYR" w:hAnsi="Times New Roman CYR" w:cs="Times New Roman CYR"/>
          <w:sz w:val="24"/>
          <w:szCs w:val="24"/>
        </w:rPr>
        <w:tab/>
        <w:t>134,0</w:t>
      </w:r>
      <w:r>
        <w:rPr>
          <w:rFonts w:ascii="Times New Roman CYR" w:hAnsi="Times New Roman CYR" w:cs="Times New Roman CYR"/>
          <w:sz w:val="24"/>
          <w:szCs w:val="24"/>
        </w:rPr>
        <w:tab/>
        <w:t>95,0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вважає, що наведенi розкриття щодо застосування справедливої вартостi є достатнiми, i не вважає, що за межами фiнансової звiтностi залишилась будь-яка суттєва iнформацi</w:t>
      </w:r>
      <w:r>
        <w:rPr>
          <w:rFonts w:ascii="Times New Roman CYR" w:hAnsi="Times New Roman CYR" w:cs="Times New Roman CYR"/>
          <w:sz w:val="24"/>
          <w:szCs w:val="24"/>
        </w:rPr>
        <w:t>я, щодо застосування справедливої вартостi, яка може бути корисною для користувачiв фiнансової звiтностi. Додаткову iнформацiю, щодо змiн справедливої вартостi фiнансових активiв в зв'язку з врахуванням ризикiв наведено у прим. 6.15.</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Розкриття iнформацi</w:t>
      </w:r>
      <w:r>
        <w:rPr>
          <w:rFonts w:ascii="Times New Roman CYR" w:hAnsi="Times New Roman CYR" w:cs="Times New Roman CYR"/>
          <w:sz w:val="24"/>
          <w:szCs w:val="24"/>
        </w:rPr>
        <w:t>ї, що пiдтверджує статтi поданi у фiнансових звiтах.</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Основнi засоби та нематерiальнi активи                                 Таб.6.1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Земельнi дiлянки</w:t>
      </w:r>
      <w:r>
        <w:rPr>
          <w:rFonts w:ascii="Times New Roman CYR" w:hAnsi="Times New Roman CYR" w:cs="Times New Roman CYR"/>
          <w:sz w:val="24"/>
          <w:szCs w:val="24"/>
        </w:rPr>
        <w:tab/>
        <w:t>Будiвлi, споруди та передавальнi пристрої</w:t>
      </w:r>
      <w:r>
        <w:rPr>
          <w:rFonts w:ascii="Times New Roman CYR" w:hAnsi="Times New Roman CYR" w:cs="Times New Roman CYR"/>
          <w:sz w:val="24"/>
          <w:szCs w:val="24"/>
        </w:rPr>
        <w:tab/>
        <w:t>Машини та обладнан</w:t>
      </w:r>
      <w:r>
        <w:rPr>
          <w:rFonts w:ascii="Times New Roman CYR" w:hAnsi="Times New Roman CYR" w:cs="Times New Roman CYR"/>
          <w:sz w:val="24"/>
          <w:szCs w:val="24"/>
        </w:rPr>
        <w:t>ня</w:t>
      </w:r>
      <w:r>
        <w:rPr>
          <w:rFonts w:ascii="Times New Roman CYR" w:hAnsi="Times New Roman CYR" w:cs="Times New Roman CYR"/>
          <w:sz w:val="24"/>
          <w:szCs w:val="24"/>
        </w:rPr>
        <w:tab/>
        <w:t>Транспортнi засоби</w:t>
      </w:r>
      <w:r>
        <w:rPr>
          <w:rFonts w:ascii="Times New Roman CYR" w:hAnsi="Times New Roman CYR" w:cs="Times New Roman CYR"/>
          <w:sz w:val="24"/>
          <w:szCs w:val="24"/>
        </w:rPr>
        <w:tab/>
        <w:t>Iнструменти, прилади, iнвентар (меблi)</w:t>
      </w:r>
      <w:r>
        <w:rPr>
          <w:rFonts w:ascii="Times New Roman CYR" w:hAnsi="Times New Roman CYR" w:cs="Times New Roman CYR"/>
          <w:sz w:val="24"/>
          <w:szCs w:val="24"/>
        </w:rPr>
        <w:tab/>
        <w:t>Iншi основнi засоби</w:t>
      </w:r>
      <w:r>
        <w:rPr>
          <w:rFonts w:ascii="Times New Roman CYR" w:hAnsi="Times New Roman CYR" w:cs="Times New Roman CYR"/>
          <w:sz w:val="24"/>
          <w:szCs w:val="24"/>
        </w:rPr>
        <w:tab/>
        <w:t>Iншi необоротнi матерiальнi активи</w:t>
      </w:r>
      <w:r>
        <w:rPr>
          <w:rFonts w:ascii="Times New Roman CYR" w:hAnsi="Times New Roman CYR" w:cs="Times New Roman CYR"/>
          <w:sz w:val="24"/>
          <w:szCs w:val="24"/>
        </w:rPr>
        <w:tab/>
        <w:t>Нематерiальнi активи</w:t>
      </w:r>
      <w:r>
        <w:rPr>
          <w:rFonts w:ascii="Times New Roman CYR" w:hAnsi="Times New Roman CYR" w:cs="Times New Roman CYR"/>
          <w:sz w:val="24"/>
          <w:szCs w:val="24"/>
        </w:rPr>
        <w:tab/>
        <w:t>Усього</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r>
        <w:rPr>
          <w:rFonts w:ascii="Times New Roman CYR" w:hAnsi="Times New Roman CYR" w:cs="Times New Roman CYR"/>
          <w:sz w:val="24"/>
          <w:szCs w:val="24"/>
        </w:rPr>
        <w:tab/>
        <w:t>6</w:t>
      </w:r>
      <w:r>
        <w:rPr>
          <w:rFonts w:ascii="Times New Roman CYR" w:hAnsi="Times New Roman CYR" w:cs="Times New Roman CYR"/>
          <w:sz w:val="24"/>
          <w:szCs w:val="24"/>
        </w:rPr>
        <w:tab/>
        <w:t>7</w:t>
      </w:r>
      <w:r>
        <w:rPr>
          <w:rFonts w:ascii="Times New Roman CYR" w:hAnsi="Times New Roman CYR" w:cs="Times New Roman CYR"/>
          <w:sz w:val="24"/>
          <w:szCs w:val="24"/>
        </w:rPr>
        <w:tab/>
        <w:t>8</w:t>
      </w:r>
      <w:r>
        <w:rPr>
          <w:rFonts w:ascii="Times New Roman CYR" w:hAnsi="Times New Roman CYR" w:cs="Times New Roman CYR"/>
          <w:sz w:val="24"/>
          <w:szCs w:val="24"/>
        </w:rPr>
        <w:tab/>
        <w:t>9</w:t>
      </w:r>
      <w:r>
        <w:rPr>
          <w:rFonts w:ascii="Times New Roman CYR" w:hAnsi="Times New Roman CYR" w:cs="Times New Roman CYR"/>
          <w:sz w:val="24"/>
          <w:szCs w:val="24"/>
        </w:rPr>
        <w:tab/>
        <w:t>10</w:t>
      </w:r>
      <w:r>
        <w:rPr>
          <w:rFonts w:ascii="Times New Roman CYR" w:hAnsi="Times New Roman CYR" w:cs="Times New Roman CYR"/>
          <w:sz w:val="24"/>
          <w:szCs w:val="24"/>
        </w:rPr>
        <w:tab/>
        <w:t>11</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Балансова вартiсть на 1 сiчня 2023 року:</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4014,9</w:t>
      </w:r>
      <w:r>
        <w:rPr>
          <w:rFonts w:ascii="Times New Roman CYR" w:hAnsi="Times New Roman CYR" w:cs="Times New Roman CYR"/>
          <w:sz w:val="24"/>
          <w:szCs w:val="24"/>
        </w:rPr>
        <w:tab/>
        <w:t>56,8</w:t>
      </w:r>
      <w:r>
        <w:rPr>
          <w:rFonts w:ascii="Times New Roman CYR" w:hAnsi="Times New Roman CYR" w:cs="Times New Roman CYR"/>
          <w:sz w:val="24"/>
          <w:szCs w:val="24"/>
        </w:rPr>
        <w:tab/>
        <w:t>149,5</w:t>
      </w:r>
      <w:r>
        <w:rPr>
          <w:rFonts w:ascii="Times New Roman CYR" w:hAnsi="Times New Roman CYR" w:cs="Times New Roman CYR"/>
          <w:sz w:val="24"/>
          <w:szCs w:val="24"/>
        </w:rPr>
        <w:tab/>
        <w:t>165,0</w:t>
      </w:r>
      <w:r>
        <w:rPr>
          <w:rFonts w:ascii="Times New Roman CYR" w:hAnsi="Times New Roman CYR" w:cs="Times New Roman CYR"/>
          <w:sz w:val="24"/>
          <w:szCs w:val="24"/>
        </w:rPr>
        <w:tab/>
        <w:t>-</w:t>
      </w:r>
      <w:r>
        <w:rPr>
          <w:rFonts w:ascii="Times New Roman CYR" w:hAnsi="Times New Roman CYR" w:cs="Times New Roman CYR"/>
          <w:sz w:val="24"/>
          <w:szCs w:val="24"/>
        </w:rPr>
        <w:tab/>
        <w:t>135,8</w:t>
      </w:r>
      <w:r>
        <w:rPr>
          <w:rFonts w:ascii="Times New Roman CYR" w:hAnsi="Times New Roman CYR" w:cs="Times New Roman CYR"/>
          <w:sz w:val="24"/>
          <w:szCs w:val="24"/>
        </w:rPr>
        <w:tab/>
        <w:t>4382,0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.1</w:t>
      </w:r>
      <w:r>
        <w:rPr>
          <w:rFonts w:ascii="Times New Roman CYR" w:hAnsi="Times New Roman CYR" w:cs="Times New Roman CYR"/>
          <w:sz w:val="24"/>
          <w:szCs w:val="24"/>
        </w:rPr>
        <w:tab/>
        <w:t>Первiсна (переоцiнена) вартiсть</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12 997,5</w:t>
      </w:r>
      <w:r>
        <w:rPr>
          <w:rFonts w:ascii="Times New Roman CYR" w:hAnsi="Times New Roman CYR" w:cs="Times New Roman CYR"/>
          <w:sz w:val="24"/>
          <w:szCs w:val="24"/>
        </w:rPr>
        <w:tab/>
        <w:t>1029,2</w:t>
      </w:r>
      <w:r>
        <w:rPr>
          <w:rFonts w:ascii="Times New Roman CYR" w:hAnsi="Times New Roman CYR" w:cs="Times New Roman CYR"/>
          <w:sz w:val="24"/>
          <w:szCs w:val="24"/>
        </w:rPr>
        <w:tab/>
        <w:t>314,1</w:t>
      </w:r>
      <w:r>
        <w:rPr>
          <w:rFonts w:ascii="Times New Roman CYR" w:hAnsi="Times New Roman CYR" w:cs="Times New Roman CYR"/>
          <w:sz w:val="24"/>
          <w:szCs w:val="24"/>
        </w:rPr>
        <w:tab/>
        <w:t>582,7</w:t>
      </w:r>
      <w:r>
        <w:rPr>
          <w:rFonts w:ascii="Times New Roman CYR" w:hAnsi="Times New Roman CYR" w:cs="Times New Roman CYR"/>
          <w:sz w:val="24"/>
          <w:szCs w:val="24"/>
        </w:rPr>
        <w:tab/>
        <w:t>-</w:t>
      </w:r>
      <w:r>
        <w:rPr>
          <w:rFonts w:ascii="Times New Roman CYR" w:hAnsi="Times New Roman CYR" w:cs="Times New Roman CYR"/>
          <w:sz w:val="24"/>
          <w:szCs w:val="24"/>
        </w:rPr>
        <w:tab/>
        <w:t>142,5</w:t>
      </w:r>
      <w:r>
        <w:rPr>
          <w:rFonts w:ascii="Times New Roman CYR" w:hAnsi="Times New Roman CYR" w:cs="Times New Roman CYR"/>
          <w:sz w:val="24"/>
          <w:szCs w:val="24"/>
        </w:rPr>
        <w:tab/>
        <w:t>15066,0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w:t>
      </w:r>
      <w:r>
        <w:rPr>
          <w:rFonts w:ascii="Times New Roman CYR" w:hAnsi="Times New Roman CYR" w:cs="Times New Roman CYR"/>
          <w:sz w:val="24"/>
          <w:szCs w:val="24"/>
        </w:rPr>
        <w:tab/>
        <w:t>Знос на 1 сiчня 2022 року</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9129,6</w:t>
      </w:r>
      <w:r>
        <w:rPr>
          <w:rFonts w:ascii="Times New Roman CYR" w:hAnsi="Times New Roman CYR" w:cs="Times New Roman CYR"/>
          <w:sz w:val="24"/>
          <w:szCs w:val="24"/>
        </w:rPr>
        <w:tab/>
        <w:t>972,4</w:t>
      </w:r>
      <w:r>
        <w:rPr>
          <w:rFonts w:ascii="Times New Roman CYR" w:hAnsi="Times New Roman CYR" w:cs="Times New Roman CYR"/>
          <w:sz w:val="24"/>
          <w:szCs w:val="24"/>
        </w:rPr>
        <w:tab/>
        <w:t>164,6</w:t>
      </w:r>
      <w:r>
        <w:rPr>
          <w:rFonts w:ascii="Times New Roman CYR" w:hAnsi="Times New Roman CYR" w:cs="Times New Roman CYR"/>
          <w:sz w:val="24"/>
          <w:szCs w:val="24"/>
        </w:rPr>
        <w:tab/>
        <w:t>410,7</w:t>
      </w:r>
      <w:r>
        <w:rPr>
          <w:rFonts w:ascii="Times New Roman CYR" w:hAnsi="Times New Roman CYR" w:cs="Times New Roman CYR"/>
          <w:sz w:val="24"/>
          <w:szCs w:val="24"/>
        </w:rPr>
        <w:tab/>
        <w:t>-</w:t>
      </w:r>
      <w:r>
        <w:rPr>
          <w:rFonts w:ascii="Times New Roman CYR" w:hAnsi="Times New Roman CYR" w:cs="Times New Roman CYR"/>
          <w:sz w:val="24"/>
          <w:szCs w:val="24"/>
        </w:rPr>
        <w:tab/>
        <w:t>6,7</w:t>
      </w:r>
      <w:r>
        <w:rPr>
          <w:rFonts w:ascii="Times New Roman CYR" w:hAnsi="Times New Roman CYR" w:cs="Times New Roman CYR"/>
          <w:sz w:val="24"/>
          <w:szCs w:val="24"/>
        </w:rPr>
        <w:tab/>
        <w:t>10684,0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Надходження</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Полiпшення основних засобiв та вдосконале</w:t>
      </w:r>
      <w:r>
        <w:rPr>
          <w:rFonts w:ascii="Times New Roman CYR" w:hAnsi="Times New Roman CYR" w:cs="Times New Roman CYR"/>
          <w:sz w:val="24"/>
          <w:szCs w:val="24"/>
        </w:rPr>
        <w:t>ння нематерiальних активiв</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Передавання</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4.1</w:t>
      </w:r>
      <w:r>
        <w:rPr>
          <w:rFonts w:ascii="Times New Roman CYR" w:hAnsi="Times New Roman CYR" w:cs="Times New Roman CYR"/>
          <w:sz w:val="24"/>
          <w:szCs w:val="24"/>
        </w:rPr>
        <w:tab/>
        <w:t>Вибуття</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Амортизацiйнi вiдрахування</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43,2</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56,8</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100,00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Вiдображення величини втрат вiд зменшення корисностi, визначених у фiнансових резу</w:t>
      </w:r>
      <w:r>
        <w:rPr>
          <w:rFonts w:ascii="Times New Roman CYR" w:hAnsi="Times New Roman CYR" w:cs="Times New Roman CYR"/>
          <w:sz w:val="24"/>
          <w:szCs w:val="24"/>
        </w:rPr>
        <w:t>льтатах</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Переоцiнка</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7.1</w:t>
      </w:r>
      <w:r>
        <w:rPr>
          <w:rFonts w:ascii="Times New Roman CYR" w:hAnsi="Times New Roman CYR" w:cs="Times New Roman CYR"/>
          <w:sz w:val="24"/>
          <w:szCs w:val="24"/>
        </w:rPr>
        <w:tab/>
        <w:t>Переоцiнка первiсної вартостi</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7.2</w:t>
      </w:r>
      <w:r>
        <w:rPr>
          <w:rFonts w:ascii="Times New Roman CYR" w:hAnsi="Times New Roman CYR" w:cs="Times New Roman CYR"/>
          <w:sz w:val="24"/>
          <w:szCs w:val="24"/>
        </w:rPr>
        <w:tab/>
        <w:t>Переоцiнка зносу</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Коригування ОЗ на Iнвестицiйну нерухомiсть</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8.1</w:t>
      </w:r>
      <w:r>
        <w:rPr>
          <w:rFonts w:ascii="Times New Roman CYR" w:hAnsi="Times New Roman CYR" w:cs="Times New Roman CYR"/>
          <w:sz w:val="24"/>
          <w:szCs w:val="24"/>
        </w:rPr>
        <w:tab/>
        <w:t>Коригування зносу ОЗ на знос МБП</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w:t>
      </w:r>
      <w:r>
        <w:rPr>
          <w:rFonts w:ascii="Times New Roman CYR" w:hAnsi="Times New Roman CYR" w:cs="Times New Roman CYR"/>
          <w:sz w:val="24"/>
          <w:szCs w:val="24"/>
        </w:rPr>
        <w:tab/>
        <w:t>Балансова вартiсть на 31 березня   2023року:</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3824,5</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0</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149,5</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165</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0</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135,8</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4282,0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9.1</w:t>
      </w:r>
      <w:r>
        <w:rPr>
          <w:rFonts w:ascii="Times New Roman CYR" w:hAnsi="Times New Roman CYR" w:cs="Times New Roman CYR"/>
          <w:sz w:val="24"/>
          <w:szCs w:val="24"/>
        </w:rPr>
        <w:tab/>
        <w:t>Первiсна (переоцiнена) вартiсть</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12 997,5</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1029,2</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314,1</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582,7</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0</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142,5</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15 066,0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9.2</w:t>
      </w:r>
      <w:r>
        <w:rPr>
          <w:rFonts w:ascii="Times New Roman CYR" w:hAnsi="Times New Roman CYR" w:cs="Times New Roman CYR"/>
          <w:sz w:val="24"/>
          <w:szCs w:val="24"/>
        </w:rPr>
        <w:tab/>
        <w:t>Знос на 31 березня  2023 року</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9173,0</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1029,2</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164,6</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410,7</w:t>
      </w:r>
      <w:r>
        <w:rPr>
          <w:rFonts w:ascii="Times New Roman CYR" w:hAnsi="Times New Roman CYR" w:cs="Times New Roman CYR"/>
          <w:sz w:val="24"/>
          <w:szCs w:val="24"/>
        </w:rPr>
        <w:tab/>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6,7</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10 784,2</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Основнi засоби та нематерiальнi активи, наведенi в Таблицi 6.1 належать Компанiї на правi власностi i в заставу не наданi. Компанiя не обмежена у володiннi, користуваннi та розпорядженнi власними </w:t>
      </w:r>
      <w:r>
        <w:rPr>
          <w:rFonts w:ascii="Times New Roman CYR" w:hAnsi="Times New Roman CYR" w:cs="Times New Roman CYR"/>
          <w:sz w:val="24"/>
          <w:szCs w:val="24"/>
        </w:rPr>
        <w:t xml:space="preserve">основними засобами.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Станом на звiтну дату дооцiнка не здiйснювалась та вiдсутнi суттєвi зобов'язання Компанiї щодо придбання основних засобiв.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6.2. Iнвестицiйна нерухомiсть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Iнвестицiйна нерухомiсть, облiковується за справедливою вартiстю.</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Таб.6.2.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Земельнi дiлянки</w:t>
      </w:r>
      <w:r>
        <w:rPr>
          <w:rFonts w:ascii="Times New Roman CYR" w:hAnsi="Times New Roman CYR" w:cs="Times New Roman CYR"/>
          <w:sz w:val="24"/>
          <w:szCs w:val="24"/>
        </w:rPr>
        <w:tab/>
        <w:t>Будiвлi</w:t>
      </w:r>
      <w:r>
        <w:rPr>
          <w:rFonts w:ascii="Times New Roman CYR" w:hAnsi="Times New Roman CYR" w:cs="Times New Roman CYR"/>
          <w:sz w:val="24"/>
          <w:szCs w:val="24"/>
        </w:rPr>
        <w:tab/>
        <w:t>квартири</w:t>
      </w:r>
      <w:r>
        <w:rPr>
          <w:rFonts w:ascii="Times New Roman CYR" w:hAnsi="Times New Roman CYR" w:cs="Times New Roman CYR"/>
          <w:sz w:val="24"/>
          <w:szCs w:val="24"/>
        </w:rPr>
        <w:tab/>
        <w:t>Усього</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r>
        <w:rPr>
          <w:rFonts w:ascii="Times New Roman CYR" w:hAnsi="Times New Roman CYR" w:cs="Times New Roman CYR"/>
          <w:sz w:val="24"/>
          <w:szCs w:val="24"/>
        </w:rPr>
        <w:tab/>
        <w:t>6</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Залишок станом на 01 сiчня 2023р.</w:t>
      </w:r>
      <w:r>
        <w:rPr>
          <w:rFonts w:ascii="Times New Roman CYR" w:hAnsi="Times New Roman CYR" w:cs="Times New Roman CYR"/>
          <w:sz w:val="24"/>
          <w:szCs w:val="24"/>
        </w:rPr>
        <w:tab/>
        <w:t>25 490,0</w:t>
      </w:r>
      <w:r>
        <w:rPr>
          <w:rFonts w:ascii="Times New Roman CYR" w:hAnsi="Times New Roman CYR" w:cs="Times New Roman CYR"/>
          <w:sz w:val="24"/>
          <w:szCs w:val="24"/>
        </w:rPr>
        <w:tab/>
        <w:t>-</w:t>
      </w:r>
      <w:r>
        <w:rPr>
          <w:rFonts w:ascii="Times New Roman CYR" w:hAnsi="Times New Roman CYR" w:cs="Times New Roman CYR"/>
          <w:sz w:val="24"/>
          <w:szCs w:val="24"/>
        </w:rPr>
        <w:tab/>
        <w:t>6 070,0</w:t>
      </w:r>
      <w:r>
        <w:rPr>
          <w:rFonts w:ascii="Times New Roman CYR" w:hAnsi="Times New Roman CYR" w:cs="Times New Roman CYR"/>
          <w:sz w:val="24"/>
          <w:szCs w:val="24"/>
        </w:rPr>
        <w:tab/>
        <w:t>31 560,0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w:t>
      </w:r>
      <w:r>
        <w:rPr>
          <w:rFonts w:ascii="Times New Roman CYR" w:hAnsi="Times New Roman CYR" w:cs="Times New Roman CYR"/>
          <w:sz w:val="24"/>
          <w:szCs w:val="24"/>
        </w:rPr>
        <w:tab/>
        <w:t>Балансова вартiсть</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w:t>
      </w:r>
      <w:r>
        <w:rPr>
          <w:rFonts w:ascii="Times New Roman CYR" w:hAnsi="Times New Roman CYR" w:cs="Times New Roman CYR"/>
          <w:sz w:val="24"/>
          <w:szCs w:val="24"/>
        </w:rPr>
        <w:tab/>
        <w:t>Знос</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Капiтальнi iнвестицiї на реконстр</w:t>
      </w:r>
      <w:r>
        <w:rPr>
          <w:rFonts w:ascii="Times New Roman CYR" w:hAnsi="Times New Roman CYR" w:cs="Times New Roman CYR"/>
          <w:sz w:val="24"/>
          <w:szCs w:val="24"/>
        </w:rPr>
        <w:t>укцiю</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Амортизацiя</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Змiна справедливої вартостi iнвестицiйної нерухомостi (дооцiнка)</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Переведення з категорiї капiтальних iнвестицiй до iнвестицiйної нерухомостi</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Переведення з категорiї з категорiї будiвель, займа</w:t>
      </w:r>
      <w:r>
        <w:rPr>
          <w:rFonts w:ascii="Times New Roman CYR" w:hAnsi="Times New Roman CYR" w:cs="Times New Roman CYR"/>
          <w:sz w:val="24"/>
          <w:szCs w:val="24"/>
        </w:rPr>
        <w:t>них власником</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w:t>
      </w:r>
      <w:r>
        <w:rPr>
          <w:rFonts w:ascii="Times New Roman CYR" w:hAnsi="Times New Roman CYR" w:cs="Times New Roman CYR"/>
          <w:sz w:val="24"/>
          <w:szCs w:val="24"/>
        </w:rPr>
        <w:tab/>
        <w:t>Балансова вартiсть</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w:t>
      </w:r>
      <w:r>
        <w:rPr>
          <w:rFonts w:ascii="Times New Roman CYR" w:hAnsi="Times New Roman CYR" w:cs="Times New Roman CYR"/>
          <w:sz w:val="24"/>
          <w:szCs w:val="24"/>
        </w:rPr>
        <w:tab/>
        <w:t>Знос</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Вибуття</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7.1</w:t>
      </w:r>
      <w:r>
        <w:rPr>
          <w:rFonts w:ascii="Times New Roman CYR" w:hAnsi="Times New Roman CYR" w:cs="Times New Roman CYR"/>
          <w:sz w:val="24"/>
          <w:szCs w:val="24"/>
        </w:rPr>
        <w:tab/>
        <w:t>Балансова вартiсть</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7.2</w:t>
      </w:r>
      <w:r>
        <w:rPr>
          <w:rFonts w:ascii="Times New Roman CYR" w:hAnsi="Times New Roman CYR" w:cs="Times New Roman CYR"/>
          <w:sz w:val="24"/>
          <w:szCs w:val="24"/>
        </w:rPr>
        <w:tab/>
        <w:t>Знос</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Залишок станом на 31 березня 2023р.</w:t>
      </w:r>
      <w:r>
        <w:rPr>
          <w:rFonts w:ascii="Times New Roman CYR" w:hAnsi="Times New Roman CYR" w:cs="Times New Roman CYR"/>
          <w:sz w:val="24"/>
          <w:szCs w:val="24"/>
        </w:rPr>
        <w:tab/>
        <w:t>25 490,0</w:t>
      </w:r>
      <w:r>
        <w:rPr>
          <w:rFonts w:ascii="Times New Roman CYR" w:hAnsi="Times New Roman CYR" w:cs="Times New Roman CYR"/>
          <w:sz w:val="24"/>
          <w:szCs w:val="24"/>
        </w:rPr>
        <w:tab/>
        <w:t>-</w:t>
      </w:r>
      <w:r>
        <w:rPr>
          <w:rFonts w:ascii="Times New Roman CYR" w:hAnsi="Times New Roman CYR" w:cs="Times New Roman CYR"/>
          <w:sz w:val="24"/>
          <w:szCs w:val="24"/>
        </w:rPr>
        <w:tab/>
        <w:t>6 070,0</w:t>
      </w:r>
      <w:r>
        <w:rPr>
          <w:rFonts w:ascii="Times New Roman CYR" w:hAnsi="Times New Roman CYR" w:cs="Times New Roman CYR"/>
          <w:sz w:val="24"/>
          <w:szCs w:val="24"/>
        </w:rPr>
        <w:tab/>
        <w:t>31 560,0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на нерухомiсть в звiтному перiодi не нараховувалась вiдповiдно до МСБО 16., а саме тому, що вона  ще не доступна до використання ,стан не дозволяє iї експлуатувати вiдповiдно до намiрiв керiвництва. Амортизацiя на земельнi дiлянки не нараховуєт</w:t>
      </w:r>
      <w:r>
        <w:rPr>
          <w:rFonts w:ascii="Times New Roman CYR" w:hAnsi="Times New Roman CYR" w:cs="Times New Roman CYR"/>
          <w:sz w:val="24"/>
          <w:szCs w:val="24"/>
        </w:rPr>
        <w:t>ься.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Iнвестицiйна нерухомiсть станом на 31.03.2023р.</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Таб.6.2.2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Об"екти  нерухомостi </w:t>
      </w:r>
      <w:r>
        <w:rPr>
          <w:rFonts w:ascii="Times New Roman CYR" w:hAnsi="Times New Roman CYR" w:cs="Times New Roman CYR"/>
          <w:sz w:val="24"/>
          <w:szCs w:val="24"/>
        </w:rPr>
        <w:tab/>
        <w:t>Напрями використання</w:t>
      </w:r>
      <w:r>
        <w:rPr>
          <w:rFonts w:ascii="Times New Roman CYR" w:hAnsi="Times New Roman CYR" w:cs="Times New Roman CYR"/>
          <w:sz w:val="24"/>
          <w:szCs w:val="24"/>
        </w:rPr>
        <w:tab/>
        <w:t>Вартiсть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Первiсна</w:t>
      </w:r>
      <w:r>
        <w:rPr>
          <w:rFonts w:ascii="Times New Roman CYR" w:hAnsi="Times New Roman CYR" w:cs="Times New Roman CYR"/>
          <w:sz w:val="24"/>
          <w:szCs w:val="24"/>
        </w:rPr>
        <w:tab/>
        <w:t>Переоцiнена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Земельна дiлянка, Київська обл., Макарiвський р., с. Мостище, вулиця Озерн</w:t>
      </w:r>
      <w:r>
        <w:rPr>
          <w:rFonts w:ascii="Times New Roman CYR" w:hAnsi="Times New Roman CYR" w:cs="Times New Roman CYR"/>
          <w:sz w:val="24"/>
          <w:szCs w:val="24"/>
        </w:rPr>
        <w:t>а, 322784701:01:011:0173</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761,5</w:t>
      </w:r>
      <w:r>
        <w:rPr>
          <w:rFonts w:ascii="Times New Roman CYR" w:hAnsi="Times New Roman CYR" w:cs="Times New Roman CYR"/>
          <w:sz w:val="24"/>
          <w:szCs w:val="24"/>
        </w:rPr>
        <w:tab/>
        <w:t>690,0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Земельна дiлянка, Київська обл., Макарiвський р., с.Мостище,вулиця Озерна, 322784701:01:011:0174</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761,5</w:t>
      </w:r>
      <w:r>
        <w:rPr>
          <w:rFonts w:ascii="Times New Roman CYR" w:hAnsi="Times New Roman CYR" w:cs="Times New Roman CYR"/>
          <w:sz w:val="24"/>
          <w:szCs w:val="24"/>
        </w:rPr>
        <w:tab/>
        <w:t>690,0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Земельна дiлянка, Київська обл., Макарiвський р., с.Мостище,вулиця Озерна, 322</w:t>
      </w:r>
      <w:r>
        <w:rPr>
          <w:rFonts w:ascii="Times New Roman CYR" w:hAnsi="Times New Roman CYR" w:cs="Times New Roman CYR"/>
          <w:sz w:val="24"/>
          <w:szCs w:val="24"/>
        </w:rPr>
        <w:t>784701:01:011:0175</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761,5</w:t>
      </w:r>
      <w:r>
        <w:rPr>
          <w:rFonts w:ascii="Times New Roman CYR" w:hAnsi="Times New Roman CYR" w:cs="Times New Roman CYR"/>
          <w:sz w:val="24"/>
          <w:szCs w:val="24"/>
        </w:rPr>
        <w:tab/>
        <w:t>690,0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Земельна дiлянка, Київська обл., м.Iрпiнь, смт.Гостомель, 321045900:01:076:0102</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17250,0</w:t>
      </w:r>
      <w:r>
        <w:rPr>
          <w:rFonts w:ascii="Times New Roman CYR" w:hAnsi="Times New Roman CYR" w:cs="Times New Roman CYR"/>
          <w:sz w:val="24"/>
          <w:szCs w:val="24"/>
        </w:rPr>
        <w:tab/>
        <w:t>20 350,00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Земельна дiлянка, Київська обл., Макарiвський р-н, с/рада Гружчанська, 3222782100-03-014-0032</w:t>
      </w:r>
      <w:r>
        <w:rPr>
          <w:rFonts w:ascii="Times New Roman CYR" w:hAnsi="Times New Roman CYR" w:cs="Times New Roman CYR"/>
          <w:sz w:val="24"/>
          <w:szCs w:val="24"/>
        </w:rPr>
        <w:tab/>
        <w:t>Iн</w:t>
      </w:r>
      <w:r>
        <w:rPr>
          <w:rFonts w:ascii="Times New Roman CYR" w:hAnsi="Times New Roman CYR" w:cs="Times New Roman CYR"/>
          <w:sz w:val="24"/>
          <w:szCs w:val="24"/>
        </w:rPr>
        <w:t>вестицiйна</w:t>
      </w:r>
      <w:r>
        <w:rPr>
          <w:rFonts w:ascii="Times New Roman CYR" w:hAnsi="Times New Roman CYR" w:cs="Times New Roman CYR"/>
          <w:sz w:val="24"/>
          <w:szCs w:val="24"/>
        </w:rPr>
        <w:tab/>
        <w:t>3090,,0</w:t>
      </w:r>
      <w:r>
        <w:rPr>
          <w:rFonts w:ascii="Times New Roman CYR" w:hAnsi="Times New Roman CYR" w:cs="Times New Roman CYR"/>
          <w:sz w:val="24"/>
          <w:szCs w:val="24"/>
        </w:rPr>
        <w:tab/>
        <w:t>3 070,0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Квартира, об`єкт нерухомостi, м.Київ, проспект Перемоги, буд.2, кв.75, 57,5м/кв.</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1555,9</w:t>
      </w:r>
      <w:r>
        <w:rPr>
          <w:rFonts w:ascii="Times New Roman CYR" w:hAnsi="Times New Roman CYR" w:cs="Times New Roman CYR"/>
          <w:sz w:val="24"/>
          <w:szCs w:val="24"/>
        </w:rPr>
        <w:tab/>
        <w:t>2 700,0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Квартира, об`єкт нерухомостi, Квартира, Глушкова, 9Д</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2930,0</w:t>
      </w:r>
      <w:r>
        <w:rPr>
          <w:rFonts w:ascii="Times New Roman CYR" w:hAnsi="Times New Roman CYR" w:cs="Times New Roman CYR"/>
          <w:sz w:val="24"/>
          <w:szCs w:val="24"/>
        </w:rPr>
        <w:tab/>
        <w:t>3 370,0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iнвестицiйної нерухомостi в 2022 роцi складає 24 ,0 тис.грн. вiд надання в оренду примiщення за адресою м.Київ, вул.  Глушкова, 9Д.</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примiщеннi за адресою  м.Київ, проспект Перемоги, буд.2, кв.75, 57,5м/кв. для отримання дохiду вiд оренди, пров</w:t>
      </w:r>
      <w:r>
        <w:rPr>
          <w:rFonts w:ascii="Times New Roman CYR" w:hAnsi="Times New Roman CYR" w:cs="Times New Roman CYR"/>
          <w:sz w:val="24"/>
          <w:szCs w:val="24"/>
        </w:rPr>
        <w:t>одяться ремонтнi работи.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Також для отримання прибутку вiд земельних дiлянок Кампанiя розробляє пректнi документи для забудови житлових примiщень.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6.3.  Фiнансовi активи.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6.3.1. Довгостроковi фiнансовi iнвестицiї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Фiнансовi активи,  що облiковуют</w:t>
      </w:r>
      <w:r>
        <w:rPr>
          <w:rFonts w:ascii="Times New Roman CYR" w:hAnsi="Times New Roman CYR" w:cs="Times New Roman CYR"/>
          <w:sz w:val="24"/>
          <w:szCs w:val="24"/>
        </w:rPr>
        <w:t>ься за методом участi в капiталi.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Станом на 31.03..2023 року на балансi Компанiї облiковуються внески до статутних капiталiв iнших пiдприємств  за методом участi в капiталв сумi 746,0 тис.грн.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пiдставi рiшення №5 загальних зборiв учасникiв ТОВ "Базис</w:t>
      </w:r>
      <w:r>
        <w:rPr>
          <w:rFonts w:ascii="Times New Roman CYR" w:hAnsi="Times New Roman CYR" w:cs="Times New Roman CYR"/>
          <w:sz w:val="24"/>
          <w:szCs w:val="24"/>
        </w:rPr>
        <w:t xml:space="preserve"> Центр" (ЄДРПОУ 40619070, країна реєстрацiї Україна) вiд 05.12.2018 року зареєстрована частка ПрАТ "СК "Сатiс" у статутному капiталi 1000,0 тис.грн., що становить 80% (фактично сплачено 700,0 тис.грн.). . ТОВ "Базис Центр" в 2022 роцi отримало прибуток у с</w:t>
      </w:r>
      <w:r>
        <w:rPr>
          <w:rFonts w:ascii="Times New Roman CYR" w:hAnsi="Times New Roman CYR" w:cs="Times New Roman CYR"/>
          <w:sz w:val="24"/>
          <w:szCs w:val="24"/>
        </w:rPr>
        <w:t>умi 8,6 тис.грн. Прибуток вiд участi в капiталi СК "САТIС" склав . 7,0 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2022 рiк</w:t>
      </w:r>
      <w:r>
        <w:rPr>
          <w:rFonts w:ascii="Times New Roman CYR" w:hAnsi="Times New Roman CYR" w:cs="Times New Roman CYR"/>
          <w:sz w:val="24"/>
          <w:szCs w:val="24"/>
        </w:rPr>
        <w:tab/>
        <w:t>2022 рiк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Iнвестицiї пов'язаним сторонам за методом облiку участi в капiталi</w:t>
      </w:r>
      <w:r>
        <w:rPr>
          <w:rFonts w:ascii="Times New Roman CYR" w:hAnsi="Times New Roman CYR" w:cs="Times New Roman CYR"/>
          <w:sz w:val="24"/>
          <w:szCs w:val="24"/>
        </w:rPr>
        <w:tab/>
        <w:t>746,0</w:t>
      </w:r>
      <w:r>
        <w:rPr>
          <w:rFonts w:ascii="Times New Roman CYR" w:hAnsi="Times New Roman CYR" w:cs="Times New Roman CYR"/>
          <w:sz w:val="24"/>
          <w:szCs w:val="24"/>
        </w:rPr>
        <w:tab/>
        <w:t>746,0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Данi iнвестицiї були проведенi з метою розроблення та впровадження високотехнологiчного устаткування, iншої iнновацiйної   продукцiї, ресурсної енергозберiгаючих технологiй, вiдповiдно до вимог Постанови КМУ вiд 17 серпня 2002 р. N 1211 "Про затвердження н</w:t>
      </w:r>
      <w:r>
        <w:rPr>
          <w:rFonts w:ascii="Times New Roman CYR" w:hAnsi="Times New Roman CYR" w:cs="Times New Roman CYR"/>
          <w:sz w:val="24"/>
          <w:szCs w:val="24"/>
        </w:rPr>
        <w:t>апрямiв iнвестування галузей економiки за рахунок коштiв страхових резервiв". Цi iнвестицiї вважаються iнвестицiями в асоцiйованi пiдприємства, Компанiя не має суттєвого впливу на дiяльнiсть цих Пiдприємств, тому було прийнято рiшення не складати консолiдо</w:t>
      </w:r>
      <w:r>
        <w:rPr>
          <w:rFonts w:ascii="Times New Roman CYR" w:hAnsi="Times New Roman CYR" w:cs="Times New Roman CYR"/>
          <w:sz w:val="24"/>
          <w:szCs w:val="24"/>
        </w:rPr>
        <w:t xml:space="preserve">вану звiтнiсть за звiтнiй перiод, ця звiтнiсть є єдина, що подається Компанiєю.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6.4.  Оренда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31.03.2023р. Компанiя має договори оренди: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Короткостроковi договори оренди - 3 шт. на суму 258,0  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Договори оренди низької вартостi - 5 </w:t>
      </w:r>
      <w:r>
        <w:rPr>
          <w:rFonts w:ascii="Times New Roman CYR" w:hAnsi="Times New Roman CYR" w:cs="Times New Roman CYR"/>
          <w:sz w:val="24"/>
          <w:szCs w:val="24"/>
        </w:rPr>
        <w:t>шт. на суму 29, 9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Враховуючи, що Компанiя укладає короткостроковi договори оренди та/або об'єкти оренди є низької вартостi , управлiнський персонал прийняв рiшення про вiдсутнiсть пiдстав  для застосування МСФЗ 16 "Оренда". Компанiя вважає, що</w:t>
      </w:r>
      <w:r>
        <w:rPr>
          <w:rFonts w:ascii="Times New Roman CYR" w:hAnsi="Times New Roman CYR" w:cs="Times New Roman CYR"/>
          <w:sz w:val="24"/>
          <w:szCs w:val="24"/>
        </w:rPr>
        <w:t xml:space="preserve"> застосування цього стандарту не матиме суттєвого впливу на цю фiнансову звiтнiсть. Оренднi платежi визнаються витратами на прямолiнiйнiй основi.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6.5.  Запаси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31.03.2023 р. Компанiєю було проведено оцiнку вартостi запасiв на вiдповiднiсть їх</w:t>
      </w:r>
      <w:r>
        <w:rPr>
          <w:rFonts w:ascii="Times New Roman CYR" w:hAnsi="Times New Roman CYR" w:cs="Times New Roman CYR"/>
          <w:sz w:val="24"/>
          <w:szCs w:val="24"/>
        </w:rPr>
        <w:t xml:space="preserve"> вартостi вимогам МСБО 2. Балансова вартiсть запасiв не перевищує чистої вартостi їх реалiзацiї.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Таб.6.5.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2022 рiк</w:t>
      </w:r>
      <w:r>
        <w:rPr>
          <w:rFonts w:ascii="Times New Roman CYR" w:hAnsi="Times New Roman CYR" w:cs="Times New Roman CYR"/>
          <w:sz w:val="24"/>
          <w:szCs w:val="24"/>
        </w:rPr>
        <w:tab/>
        <w:t>2023 рiк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Разом залишки запасiв на кiнець року, в тому числi:</w:t>
      </w:r>
      <w:r>
        <w:rPr>
          <w:rFonts w:ascii="Times New Roman CYR" w:hAnsi="Times New Roman CYR" w:cs="Times New Roman CYR"/>
          <w:sz w:val="24"/>
          <w:szCs w:val="24"/>
        </w:rPr>
        <w:tab/>
        <w:t>4,0</w:t>
      </w:r>
      <w:r>
        <w:rPr>
          <w:rFonts w:ascii="Times New Roman CYR" w:hAnsi="Times New Roman CYR" w:cs="Times New Roman CYR"/>
          <w:sz w:val="24"/>
          <w:szCs w:val="24"/>
        </w:rPr>
        <w:tab/>
        <w:t>46</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w:t>
      </w:r>
      <w:r>
        <w:rPr>
          <w:rFonts w:ascii="Times New Roman CYR" w:hAnsi="Times New Roman CYR" w:cs="Times New Roman CYR"/>
          <w:sz w:val="24"/>
          <w:szCs w:val="24"/>
        </w:rPr>
        <w:tab/>
        <w:t>Матерiали</w:t>
      </w:r>
      <w:r>
        <w:rPr>
          <w:rFonts w:ascii="Times New Roman CYR" w:hAnsi="Times New Roman CYR" w:cs="Times New Roman CYR"/>
          <w:sz w:val="24"/>
          <w:szCs w:val="24"/>
        </w:rPr>
        <w:tab/>
        <w:t>2,1</w:t>
      </w:r>
      <w:r>
        <w:rPr>
          <w:rFonts w:ascii="Times New Roman CYR" w:hAnsi="Times New Roman CYR" w:cs="Times New Roman CYR"/>
          <w:sz w:val="24"/>
          <w:szCs w:val="24"/>
        </w:rPr>
        <w:tab/>
        <w:t>12,0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w:t>
      </w:r>
      <w:r>
        <w:rPr>
          <w:rFonts w:ascii="Times New Roman CYR" w:hAnsi="Times New Roman CYR" w:cs="Times New Roman CYR"/>
          <w:sz w:val="24"/>
          <w:szCs w:val="24"/>
        </w:rPr>
        <w:tab/>
        <w:t>Паливо</w:t>
      </w:r>
      <w:r>
        <w:rPr>
          <w:rFonts w:ascii="Times New Roman CYR" w:hAnsi="Times New Roman CYR" w:cs="Times New Roman CYR"/>
          <w:sz w:val="24"/>
          <w:szCs w:val="24"/>
        </w:rPr>
        <w:tab/>
        <w:t>1,9</w:t>
      </w:r>
      <w:r>
        <w:rPr>
          <w:rFonts w:ascii="Times New Roman CYR" w:hAnsi="Times New Roman CYR" w:cs="Times New Roman CYR"/>
          <w:sz w:val="24"/>
          <w:szCs w:val="24"/>
        </w:rPr>
        <w:tab/>
        <w:t>1,0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w:t>
      </w:r>
      <w:r>
        <w:rPr>
          <w:rFonts w:ascii="Times New Roman CYR" w:hAnsi="Times New Roman CYR" w:cs="Times New Roman CYR"/>
          <w:sz w:val="24"/>
          <w:szCs w:val="24"/>
        </w:rPr>
        <w:tab/>
        <w:t>Запаснi частини</w:t>
      </w:r>
      <w:r>
        <w:rPr>
          <w:rFonts w:ascii="Times New Roman CYR" w:hAnsi="Times New Roman CYR" w:cs="Times New Roman CYR"/>
          <w:sz w:val="24"/>
          <w:szCs w:val="24"/>
        </w:rPr>
        <w:tab/>
        <w:t>-</w:t>
      </w:r>
      <w:r>
        <w:rPr>
          <w:rFonts w:ascii="Times New Roman CYR" w:hAnsi="Times New Roman CYR" w:cs="Times New Roman CYR"/>
          <w:sz w:val="24"/>
          <w:szCs w:val="24"/>
        </w:rPr>
        <w:tab/>
        <w:t>1,0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w:t>
      </w:r>
      <w:r>
        <w:rPr>
          <w:rFonts w:ascii="Times New Roman CYR" w:hAnsi="Times New Roman CYR" w:cs="Times New Roman CYR"/>
          <w:sz w:val="24"/>
          <w:szCs w:val="24"/>
        </w:rPr>
        <w:tab/>
        <w:t>Iншi запаси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Капiтальнi iнвестицiї (ремонт)</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Вiднесено на витрати запасiв в поточному роцi</w:t>
      </w:r>
      <w:r>
        <w:rPr>
          <w:rFonts w:ascii="Times New Roman CYR" w:hAnsi="Times New Roman CYR" w:cs="Times New Roman CYR"/>
          <w:sz w:val="24"/>
          <w:szCs w:val="24"/>
        </w:rPr>
        <w:tab/>
        <w:t>142,3</w:t>
      </w:r>
      <w:r>
        <w:rPr>
          <w:rFonts w:ascii="Times New Roman CYR" w:hAnsi="Times New Roman CYR" w:cs="Times New Roman CYR"/>
          <w:sz w:val="24"/>
          <w:szCs w:val="24"/>
        </w:rPr>
        <w:tab/>
        <w:t>37,0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Списано запасiв протягом поточного перiоду</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Вартiсть за</w:t>
      </w:r>
      <w:r>
        <w:rPr>
          <w:rFonts w:ascii="Times New Roman CYR" w:hAnsi="Times New Roman CYR" w:cs="Times New Roman CYR"/>
          <w:sz w:val="24"/>
          <w:szCs w:val="24"/>
        </w:rPr>
        <w:t>пасiв в заставi</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6.6. Дебiторська заборгованiсть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Визнання, класифiкацiю та розкриття iнформацiї щодо дебiторської заборгованостi Товариство здiйснює вiдповiдно до МСФЗ 7 "Фiнансовi iнструменти: розкриття", МСБО 1 "Подання фiнансових звiтiв" та МСФЗ 9 "Фiнансовi iнструменти"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Операцiйна дебiторська заборг</w:t>
      </w:r>
      <w:r>
        <w:rPr>
          <w:rFonts w:ascii="Times New Roman CYR" w:hAnsi="Times New Roman CYR" w:cs="Times New Roman CYR"/>
          <w:sz w:val="24"/>
          <w:szCs w:val="24"/>
        </w:rPr>
        <w:t xml:space="preserve">ованiсть - це заборгованiсть, яка виникає в процесi страхової дiяльностi Товариства за умови пiдписання договору та внесення коштiв.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Неоперацiйна дебiторська заборгованiсть виникає вiд операцiй, не пов'язаних з операцiйною дiяльнiстю Товариства.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w:t>
      </w:r>
      <w:r>
        <w:rPr>
          <w:rFonts w:ascii="Times New Roman CYR" w:hAnsi="Times New Roman CYR" w:cs="Times New Roman CYR"/>
          <w:sz w:val="24"/>
          <w:szCs w:val="24"/>
        </w:rPr>
        <w:t xml:space="preserve">торська заборгованiсть в балансi виглядає так: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Таб.6.6.1.(тис.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2023 рiк</w:t>
      </w:r>
      <w:r>
        <w:rPr>
          <w:rFonts w:ascii="Times New Roman CYR" w:hAnsi="Times New Roman CYR" w:cs="Times New Roman CYR"/>
          <w:sz w:val="24"/>
          <w:szCs w:val="24"/>
        </w:rPr>
        <w:tab/>
        <w:t>2022 рiк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Дебiторська заборгованiсть за товари, роботи, послуги </w:t>
      </w:r>
      <w:r>
        <w:rPr>
          <w:rFonts w:ascii="Times New Roman CYR" w:hAnsi="Times New Roman CYR" w:cs="Times New Roman CYR"/>
          <w:sz w:val="24"/>
          <w:szCs w:val="24"/>
        </w:rPr>
        <w:tab/>
        <w:t>16,0</w:t>
      </w:r>
      <w:r>
        <w:rPr>
          <w:rFonts w:ascii="Times New Roman CYR" w:hAnsi="Times New Roman CYR" w:cs="Times New Roman CYR"/>
          <w:sz w:val="24"/>
          <w:szCs w:val="24"/>
        </w:rPr>
        <w:tab/>
        <w:t>62,0</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за страхови</w:t>
      </w:r>
      <w:r>
        <w:rPr>
          <w:rFonts w:ascii="Times New Roman CYR" w:hAnsi="Times New Roman CYR" w:cs="Times New Roman CYR"/>
          <w:sz w:val="24"/>
          <w:szCs w:val="24"/>
        </w:rPr>
        <w:t>ми послугами</w:t>
      </w:r>
      <w:r>
        <w:rPr>
          <w:rFonts w:ascii="Times New Roman CYR" w:hAnsi="Times New Roman CYR" w:cs="Times New Roman CYR"/>
          <w:sz w:val="24"/>
          <w:szCs w:val="24"/>
        </w:rPr>
        <w:tab/>
        <w:t>16,0</w:t>
      </w:r>
      <w:r>
        <w:rPr>
          <w:rFonts w:ascii="Times New Roman CYR" w:hAnsi="Times New Roman CYR" w:cs="Times New Roman CYR"/>
          <w:sz w:val="24"/>
          <w:szCs w:val="24"/>
        </w:rPr>
        <w:tab/>
        <w:t>62,0</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Дебiторська заборгованiсть за розрахунками: в т.ч.:</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виданими авансами</w:t>
      </w:r>
      <w:r>
        <w:rPr>
          <w:rFonts w:ascii="Times New Roman CYR" w:hAnsi="Times New Roman CYR" w:cs="Times New Roman CYR"/>
          <w:sz w:val="24"/>
          <w:szCs w:val="24"/>
        </w:rPr>
        <w:tab/>
        <w:t>95,0</w:t>
      </w:r>
      <w:r>
        <w:rPr>
          <w:rFonts w:ascii="Times New Roman CYR" w:hAnsi="Times New Roman CYR" w:cs="Times New Roman CYR"/>
          <w:sz w:val="24"/>
          <w:szCs w:val="24"/>
        </w:rPr>
        <w:tab/>
        <w:t>134,0</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 бюджетом</w:t>
      </w:r>
      <w:r>
        <w:rPr>
          <w:rFonts w:ascii="Times New Roman CYR" w:hAnsi="Times New Roman CYR" w:cs="Times New Roman CYR"/>
          <w:sz w:val="24"/>
          <w:szCs w:val="24"/>
        </w:rPr>
        <w:tab/>
        <w:t>186,0</w:t>
      </w:r>
      <w:r>
        <w:rPr>
          <w:rFonts w:ascii="Times New Roman CYR" w:hAnsi="Times New Roman CYR" w:cs="Times New Roman CYR"/>
          <w:sz w:val="24"/>
          <w:szCs w:val="24"/>
        </w:rPr>
        <w:tab/>
        <w:t>211,0</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тому числi з податку на прибуток</w:t>
      </w:r>
      <w:r>
        <w:rPr>
          <w:rFonts w:ascii="Times New Roman CYR" w:hAnsi="Times New Roman CYR" w:cs="Times New Roman CYR"/>
          <w:sz w:val="24"/>
          <w:szCs w:val="24"/>
        </w:rPr>
        <w:tab/>
        <w:t>186,0</w:t>
      </w:r>
      <w:r>
        <w:rPr>
          <w:rFonts w:ascii="Times New Roman CYR" w:hAnsi="Times New Roman CYR" w:cs="Times New Roman CYR"/>
          <w:sz w:val="24"/>
          <w:szCs w:val="24"/>
        </w:rPr>
        <w:tab/>
        <w:t>205,0</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 за нарахованими доходами</w:t>
      </w:r>
      <w:r>
        <w:rPr>
          <w:rFonts w:ascii="Times New Roman CYR" w:hAnsi="Times New Roman CYR" w:cs="Times New Roman CYR"/>
          <w:sz w:val="24"/>
          <w:szCs w:val="24"/>
        </w:rPr>
        <w:tab/>
        <w:t>0,0</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 iз внутрiшнiх розрахункiв</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поточна дебiторська заборгованiсть</w:t>
      </w:r>
      <w:r>
        <w:rPr>
          <w:rFonts w:ascii="Times New Roman CYR" w:hAnsi="Times New Roman CYR" w:cs="Times New Roman CYR"/>
          <w:sz w:val="24"/>
          <w:szCs w:val="24"/>
        </w:rPr>
        <w:tab/>
        <w:t>5078,0</w:t>
      </w:r>
      <w:r>
        <w:rPr>
          <w:rFonts w:ascii="Times New Roman CYR" w:hAnsi="Times New Roman CYR" w:cs="Times New Roman CYR"/>
          <w:sz w:val="24"/>
          <w:szCs w:val="24"/>
        </w:rPr>
        <w:tab/>
        <w:t>5634,0</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тому числi: невиплачена частка вiд виходу з учасникiв Товариства</w:t>
      </w:r>
      <w:r>
        <w:rPr>
          <w:rFonts w:ascii="Times New Roman CYR" w:hAnsi="Times New Roman CYR" w:cs="Times New Roman CYR"/>
          <w:sz w:val="24"/>
          <w:szCs w:val="24"/>
        </w:rPr>
        <w:tab/>
        <w:t>0</w:t>
      </w:r>
      <w:r>
        <w:rPr>
          <w:rFonts w:ascii="Times New Roman CYR" w:hAnsi="Times New Roman CYR" w:cs="Times New Roman CYR"/>
          <w:sz w:val="24"/>
          <w:szCs w:val="24"/>
        </w:rPr>
        <w:tab/>
        <w:t>0</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розрахунками з постачальниками за товари, роботи, послуги</w:t>
      </w:r>
      <w:r>
        <w:rPr>
          <w:rFonts w:ascii="Times New Roman CYR" w:hAnsi="Times New Roman CYR" w:cs="Times New Roman CYR"/>
          <w:sz w:val="24"/>
          <w:szCs w:val="24"/>
        </w:rPr>
        <w:tab/>
        <w:t>0</w:t>
      </w:r>
      <w:r>
        <w:rPr>
          <w:rFonts w:ascii="Times New Roman CYR" w:hAnsi="Times New Roman CYR" w:cs="Times New Roman CYR"/>
          <w:sz w:val="24"/>
          <w:szCs w:val="24"/>
        </w:rPr>
        <w:tab/>
        <w:t>0</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Дебiторська заборгованiсть поточна, не прострочена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 4 кварталi 2020р. на пiдставi Протоколу №2 Загальних зборiв учасникiв вiд 30.10.2020р. Компанiя вийшла зi складу учасникiв ТОВ "УКАР-СЕРВIС" (ЄДРПОУ 37567871, країна реєстрацiї Україна).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w:t>
      </w:r>
      <w:r>
        <w:rPr>
          <w:rFonts w:ascii="Times New Roman CYR" w:hAnsi="Times New Roman CYR" w:cs="Times New Roman CYR"/>
          <w:sz w:val="24"/>
          <w:szCs w:val="24"/>
        </w:rPr>
        <w:t xml:space="preserve">а дату звiтностi невиплачена частка облiковується як поточна дебiторська заборгованiсть  пiд яку створенi резерв очiкуваних кредитних збиткiв в розмiрi  3 184,0 тис. грн.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2022 рiк</w:t>
      </w:r>
      <w:r>
        <w:rPr>
          <w:rFonts w:ascii="Times New Roman CYR" w:hAnsi="Times New Roman CYR" w:cs="Times New Roman CYR"/>
          <w:sz w:val="24"/>
          <w:szCs w:val="24"/>
        </w:rPr>
        <w:tab/>
        <w:t>2023 рiк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Розрахунки з iншими дебiторами</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8 263,0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8263,0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Резерв сумнiвних боргiв</w:t>
      </w:r>
      <w:r>
        <w:rPr>
          <w:rFonts w:ascii="Times New Roman CYR" w:hAnsi="Times New Roman CYR" w:cs="Times New Roman CYR"/>
          <w:sz w:val="24"/>
          <w:szCs w:val="24"/>
        </w:rPr>
        <w:tab/>
        <w:t>2635,0</w:t>
      </w:r>
      <w:r>
        <w:rPr>
          <w:rFonts w:ascii="Times New Roman CYR" w:hAnsi="Times New Roman CYR" w:cs="Times New Roman CYR"/>
          <w:sz w:val="24"/>
          <w:szCs w:val="24"/>
        </w:rPr>
        <w:tab/>
        <w:t>3 184,0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Сума збиткiв визнається у прибутку чи збитку. Якщо в наступному перiодi сума збитку вiд зменшення корисностi зменшується i це зменшення може бути об'єктивно пов'язаним з подiєю, яка вiдбуваєт</w:t>
      </w:r>
      <w:r>
        <w:rPr>
          <w:rFonts w:ascii="Times New Roman CYR" w:hAnsi="Times New Roman CYR" w:cs="Times New Roman CYR"/>
          <w:sz w:val="24"/>
          <w:szCs w:val="24"/>
        </w:rPr>
        <w:t>ься пiсля визнання зменшення корисностi, то попередньо визнаний збиток вiд зменшення корисностi сторнується за рахунок коригування резерву. Сума сторнування визнається у прибутку чи збитку. У разi неможливостi повернення дебiторської заборгованостi вона сп</w:t>
      </w:r>
      <w:r>
        <w:rPr>
          <w:rFonts w:ascii="Times New Roman CYR" w:hAnsi="Times New Roman CYR" w:cs="Times New Roman CYR"/>
          <w:sz w:val="24"/>
          <w:szCs w:val="24"/>
        </w:rPr>
        <w:t>исується за рахунок створеного резерву сумнiвних боргiв на покриття збиткiв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6.7.  Грошовi кошти та їх еквiваленти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Активи, що класифiкованi  Компанiєю як  грошовi кошти та їх еквiваленти, не мають обмежень у використаннi, та зберiгаються в банкiвських у</w:t>
      </w:r>
      <w:r>
        <w:rPr>
          <w:rFonts w:ascii="Times New Roman CYR" w:hAnsi="Times New Roman CYR" w:cs="Times New Roman CYR"/>
          <w:sz w:val="24"/>
          <w:szCs w:val="24"/>
        </w:rPr>
        <w:t>становах України.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Таблиця  Аналiз  якостi еквiвалентiв грошових коштiв станом на 31 березня 2023 року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Таб.6.7.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2022 рiк</w:t>
      </w:r>
      <w:r>
        <w:rPr>
          <w:rFonts w:ascii="Times New Roman CYR" w:hAnsi="Times New Roman CYR" w:cs="Times New Roman CYR"/>
          <w:sz w:val="24"/>
          <w:szCs w:val="24"/>
        </w:rPr>
        <w:tab/>
        <w:t>2021 рiк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 xml:space="preserve">Готiвковi кошти в касi Компанiї </w:t>
      </w:r>
      <w:r>
        <w:rPr>
          <w:rFonts w:ascii="Times New Roman CYR" w:hAnsi="Times New Roman CYR" w:cs="Times New Roman CYR"/>
          <w:sz w:val="24"/>
          <w:szCs w:val="24"/>
        </w:rPr>
        <w:tab/>
        <w:t>9,0</w:t>
      </w:r>
      <w:r>
        <w:rPr>
          <w:rFonts w:ascii="Times New Roman CYR" w:hAnsi="Times New Roman CYR" w:cs="Times New Roman CYR"/>
          <w:sz w:val="24"/>
          <w:szCs w:val="24"/>
        </w:rPr>
        <w:tab/>
        <w:t>9,0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w:t>
      </w:r>
      <w:r>
        <w:rPr>
          <w:rFonts w:ascii="Times New Roman CYR" w:hAnsi="Times New Roman CYR" w:cs="Times New Roman CYR"/>
          <w:sz w:val="24"/>
          <w:szCs w:val="24"/>
        </w:rPr>
        <w:tab/>
        <w:t>Комерцiйнi банки iз рейтингом "iнвест</w:t>
      </w:r>
      <w:r>
        <w:rPr>
          <w:rFonts w:ascii="Times New Roman CYR" w:hAnsi="Times New Roman CYR" w:cs="Times New Roman CYR"/>
          <w:sz w:val="24"/>
          <w:szCs w:val="24"/>
        </w:rPr>
        <w:t xml:space="preserve">ицiйний" </w:t>
      </w:r>
      <w:r>
        <w:rPr>
          <w:rFonts w:ascii="Times New Roman CYR" w:hAnsi="Times New Roman CYR" w:cs="Times New Roman CYR"/>
          <w:sz w:val="24"/>
          <w:szCs w:val="24"/>
        </w:rPr>
        <w:tab/>
        <w:t>6 934,0</w:t>
      </w:r>
      <w:r>
        <w:rPr>
          <w:rFonts w:ascii="Times New Roman CYR" w:hAnsi="Times New Roman CYR" w:cs="Times New Roman CYR"/>
          <w:sz w:val="24"/>
          <w:szCs w:val="24"/>
        </w:rPr>
        <w:tab/>
        <w:t>7 960,0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w:t>
      </w:r>
      <w:r>
        <w:rPr>
          <w:rFonts w:ascii="Times New Roman CYR" w:hAnsi="Times New Roman CYR" w:cs="Times New Roman CYR"/>
          <w:sz w:val="24"/>
          <w:szCs w:val="24"/>
        </w:rPr>
        <w:tab/>
        <w:t>З рейтингом нижче iнвестицiйного</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Усього еквiвалентiв грошових коштiв  </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6 943,0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7 969,0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зберiгає кошти в банкiвських установах якi мають рейтинг не нижче iнвестицiйного, а саме:</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ПАТ "Ощадбанк"       (ЄДРПОУ 09322277) - uaAA</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ПАТ "Альфа-Банк"    (ЄДРПОУ 23494714) - uaAAA</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АТ "Iдея Банк"           (ЄДРПОУ 19390819)  - uaAA</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АТ КБ "ПриватБанк" (ЄДРПОУ 14360570)  - uaAA</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АТ Унiверсалбанк       (ЄДРПОУ 21133352) - uaAAA</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АТ</w:t>
      </w:r>
      <w:r>
        <w:rPr>
          <w:rFonts w:ascii="Times New Roman CYR" w:hAnsi="Times New Roman CYR" w:cs="Times New Roman CYR"/>
          <w:sz w:val="24"/>
          <w:szCs w:val="24"/>
        </w:rPr>
        <w:t xml:space="preserve"> Укрсиббанк           (ЄДРПОУ  22963118) - uaAAA</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АТ Укргазбанк             (ЄДРПОУ 23697280) - uaAA+</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6.8.  Статутний капiтал та емiсiйнi рiзницi (емiсiйний дохiд), змiни у власному капiталi.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Таб.6.8.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 статтi</w:t>
      </w:r>
      <w:r>
        <w:rPr>
          <w:rFonts w:ascii="Times New Roman CYR" w:hAnsi="Times New Roman CYR" w:cs="Times New Roman CYR"/>
          <w:sz w:val="24"/>
          <w:szCs w:val="24"/>
        </w:rPr>
        <w:tab/>
        <w:t>Кiльк-ть акцiй в обiгу (тис. шт.)</w:t>
      </w:r>
      <w:r>
        <w:rPr>
          <w:rFonts w:ascii="Times New Roman CYR" w:hAnsi="Times New Roman CYR" w:cs="Times New Roman CYR"/>
          <w:sz w:val="24"/>
          <w:szCs w:val="24"/>
        </w:rPr>
        <w:tab/>
        <w:t>Простi акцiї</w:t>
      </w:r>
      <w:r>
        <w:rPr>
          <w:rFonts w:ascii="Times New Roman CYR" w:hAnsi="Times New Roman CYR" w:cs="Times New Roman CYR"/>
          <w:sz w:val="24"/>
          <w:szCs w:val="24"/>
        </w:rPr>
        <w:tab/>
        <w:t>Вартiсть акцiй</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Залишок на 1 сiчня 2023 року</w:t>
      </w:r>
      <w:r>
        <w:rPr>
          <w:rFonts w:ascii="Times New Roman CYR" w:hAnsi="Times New Roman CYR" w:cs="Times New Roman CYR"/>
          <w:sz w:val="24"/>
          <w:szCs w:val="24"/>
        </w:rPr>
        <w:tab/>
        <w:t>1652,4</w:t>
      </w:r>
      <w:r>
        <w:rPr>
          <w:rFonts w:ascii="Times New Roman CYR" w:hAnsi="Times New Roman CYR" w:cs="Times New Roman CYR"/>
          <w:sz w:val="24"/>
          <w:szCs w:val="24"/>
        </w:rPr>
        <w:tab/>
        <w:t>1652,4</w:t>
      </w:r>
      <w:r>
        <w:rPr>
          <w:rFonts w:ascii="Times New Roman CYR" w:hAnsi="Times New Roman CYR" w:cs="Times New Roman CYR"/>
          <w:sz w:val="24"/>
          <w:szCs w:val="24"/>
        </w:rPr>
        <w:tab/>
        <w:t>16524,4</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 xml:space="preserve">Внески за акцiями (паями, частками) нового випуску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Залишок на кiнець дня 31  березня  2023 року</w:t>
      </w:r>
      <w:r>
        <w:rPr>
          <w:rFonts w:ascii="Times New Roman CYR" w:hAnsi="Times New Roman CYR" w:cs="Times New Roman CYR"/>
          <w:sz w:val="24"/>
          <w:szCs w:val="24"/>
        </w:rPr>
        <w:tab/>
        <w:t>1</w:t>
      </w:r>
      <w:r>
        <w:rPr>
          <w:rFonts w:ascii="Times New Roman CYR" w:hAnsi="Times New Roman CYR" w:cs="Times New Roman CYR"/>
          <w:sz w:val="24"/>
          <w:szCs w:val="24"/>
        </w:rPr>
        <w:t>652,4</w:t>
      </w:r>
      <w:r>
        <w:rPr>
          <w:rFonts w:ascii="Times New Roman CYR" w:hAnsi="Times New Roman CYR" w:cs="Times New Roman CYR"/>
          <w:sz w:val="24"/>
          <w:szCs w:val="24"/>
        </w:rPr>
        <w:tab/>
        <w:t>1652,4</w:t>
      </w:r>
      <w:r>
        <w:rPr>
          <w:rFonts w:ascii="Times New Roman CYR" w:hAnsi="Times New Roman CYR" w:cs="Times New Roman CYR"/>
          <w:sz w:val="24"/>
          <w:szCs w:val="24"/>
        </w:rPr>
        <w:tab/>
        <w:t>16524,4</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акцiї є простими, надають акцiонерам наступнi права: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брати участь в управлiннi справами страхової компанiї в порядку, визначеному чинним законодавством України та Статутом;</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брати участь у розподiлi прибутку страхової компа</w:t>
      </w:r>
      <w:r>
        <w:rPr>
          <w:rFonts w:ascii="Times New Roman CYR" w:hAnsi="Times New Roman CYR" w:cs="Times New Roman CYR"/>
          <w:sz w:val="24"/>
          <w:szCs w:val="24"/>
        </w:rPr>
        <w:t>нiї та одержувати дивiденди вiдповiдно до рiшень Загальних зборiв акцiонерiв;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отримувати iнформацiю про дiяльнiсть страхової компанiї в обсягах, визначеному чинним законодавством України;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вiдчужувати акцiї страхової компанiї в порядку, визначеному ци</w:t>
      </w:r>
      <w:r>
        <w:rPr>
          <w:rFonts w:ascii="Times New Roman CYR" w:hAnsi="Times New Roman CYR" w:cs="Times New Roman CYR"/>
          <w:sz w:val="24"/>
          <w:szCs w:val="24"/>
        </w:rPr>
        <w:t>м Статутом та чинним законодавством України;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iншi права згiдно з Статутом та чинним законодавством України.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Привiлеї та обмеження для певних груп акцiонерiв вiдсутнi.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31.12 .2022р. акцiї ПрАТ "СК "САТIС" належать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Таб.6.8.1.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Назва/П.I.Б. власника цiнних паперiв</w:t>
      </w:r>
      <w:r>
        <w:rPr>
          <w:rFonts w:ascii="Times New Roman CYR" w:hAnsi="Times New Roman CYR" w:cs="Times New Roman CYR"/>
          <w:sz w:val="24"/>
          <w:szCs w:val="24"/>
        </w:rPr>
        <w:tab/>
        <w:t>Загальна кiлькiсть ЦП</w:t>
      </w:r>
      <w:r>
        <w:rPr>
          <w:rFonts w:ascii="Times New Roman CYR" w:hAnsi="Times New Roman CYR" w:cs="Times New Roman CYR"/>
          <w:sz w:val="24"/>
          <w:szCs w:val="24"/>
        </w:rPr>
        <w:tab/>
        <w:t>Загальна номiнальна вартiсть ЦП</w:t>
      </w:r>
      <w:r>
        <w:rPr>
          <w:rFonts w:ascii="Times New Roman CYR" w:hAnsi="Times New Roman CYR" w:cs="Times New Roman CYR"/>
          <w:sz w:val="24"/>
          <w:szCs w:val="24"/>
        </w:rPr>
        <w:tab/>
        <w:t>Вiдсоток у СК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Фiзичнi особи</w:t>
      </w:r>
      <w:r>
        <w:rPr>
          <w:rFonts w:ascii="Times New Roman CYR" w:hAnsi="Times New Roman CYR" w:cs="Times New Roman CYR"/>
          <w:sz w:val="24"/>
          <w:szCs w:val="24"/>
        </w:rPr>
        <w:tab/>
        <w:t>13456,18</w:t>
      </w:r>
      <w:r>
        <w:rPr>
          <w:rFonts w:ascii="Times New Roman CYR" w:hAnsi="Times New Roman CYR" w:cs="Times New Roman CYR"/>
          <w:sz w:val="24"/>
          <w:szCs w:val="24"/>
        </w:rPr>
        <w:tab/>
        <w:t>13456,18</w:t>
      </w:r>
      <w:r>
        <w:rPr>
          <w:rFonts w:ascii="Times New Roman CYR" w:hAnsi="Times New Roman CYR" w:cs="Times New Roman CYR"/>
          <w:sz w:val="24"/>
          <w:szCs w:val="24"/>
        </w:rPr>
        <w:tab/>
        <w:t>81,432378</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АКБ "Схiдно-Європейський банк",  Україна</w:t>
      </w:r>
      <w:r>
        <w:rPr>
          <w:rFonts w:ascii="Times New Roman CYR" w:hAnsi="Times New Roman CYR" w:cs="Times New Roman CYR"/>
          <w:sz w:val="24"/>
          <w:szCs w:val="24"/>
        </w:rPr>
        <w:tab/>
        <w:t>1000,00</w:t>
      </w:r>
      <w:r>
        <w:rPr>
          <w:rFonts w:ascii="Times New Roman CYR" w:hAnsi="Times New Roman CYR" w:cs="Times New Roman CYR"/>
          <w:sz w:val="24"/>
          <w:szCs w:val="24"/>
        </w:rPr>
        <w:tab/>
        <w:t>1000,0</w:t>
      </w:r>
      <w:r>
        <w:rPr>
          <w:rFonts w:ascii="Times New Roman CYR" w:hAnsi="Times New Roman CYR" w:cs="Times New Roman CYR"/>
          <w:sz w:val="24"/>
          <w:szCs w:val="24"/>
        </w:rPr>
        <w:tab/>
        <w:t>6,051671</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 xml:space="preserve">ТОВ "Карбон ЛТД", </w:t>
      </w:r>
      <w:r>
        <w:rPr>
          <w:rFonts w:ascii="Times New Roman CYR" w:hAnsi="Times New Roman CYR" w:cs="Times New Roman CYR"/>
          <w:sz w:val="24"/>
          <w:szCs w:val="24"/>
        </w:rPr>
        <w:t>Україна</w:t>
      </w:r>
      <w:r>
        <w:rPr>
          <w:rFonts w:ascii="Times New Roman CYR" w:hAnsi="Times New Roman CYR" w:cs="Times New Roman CYR"/>
          <w:sz w:val="24"/>
          <w:szCs w:val="24"/>
        </w:rPr>
        <w:tab/>
        <w:t>424,25</w:t>
      </w:r>
      <w:r>
        <w:rPr>
          <w:rFonts w:ascii="Times New Roman CYR" w:hAnsi="Times New Roman CYR" w:cs="Times New Roman CYR"/>
          <w:sz w:val="24"/>
          <w:szCs w:val="24"/>
        </w:rPr>
        <w:tab/>
        <w:t>424,25</w:t>
      </w:r>
      <w:r>
        <w:rPr>
          <w:rFonts w:ascii="Times New Roman CYR" w:hAnsi="Times New Roman CYR" w:cs="Times New Roman CYR"/>
          <w:sz w:val="24"/>
          <w:szCs w:val="24"/>
        </w:rPr>
        <w:tab/>
        <w:t>2,567421</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ПП "Фiнвест"</w:t>
      </w:r>
      <w:r>
        <w:rPr>
          <w:rFonts w:ascii="Times New Roman CYR" w:hAnsi="Times New Roman CYR" w:cs="Times New Roman CYR"/>
          <w:sz w:val="24"/>
          <w:szCs w:val="24"/>
        </w:rPr>
        <w:tab/>
        <w:t>1643,93</w:t>
      </w:r>
      <w:r>
        <w:rPr>
          <w:rFonts w:ascii="Times New Roman CYR" w:hAnsi="Times New Roman CYR" w:cs="Times New Roman CYR"/>
          <w:sz w:val="24"/>
          <w:szCs w:val="24"/>
        </w:rPr>
        <w:tab/>
        <w:t>1643,93</w:t>
      </w:r>
      <w:r>
        <w:rPr>
          <w:rFonts w:ascii="Times New Roman CYR" w:hAnsi="Times New Roman CYR" w:cs="Times New Roman CYR"/>
          <w:sz w:val="24"/>
          <w:szCs w:val="24"/>
        </w:rPr>
        <w:tab/>
        <w:t>9,948524</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Всього</w:t>
      </w:r>
      <w:r>
        <w:rPr>
          <w:rFonts w:ascii="Times New Roman CYR" w:hAnsi="Times New Roman CYR" w:cs="Times New Roman CYR"/>
          <w:sz w:val="24"/>
          <w:szCs w:val="24"/>
        </w:rPr>
        <w:tab/>
        <w:t>16524,36</w:t>
      </w:r>
      <w:r>
        <w:rPr>
          <w:rFonts w:ascii="Times New Roman CYR" w:hAnsi="Times New Roman CYR" w:cs="Times New Roman CYR"/>
          <w:sz w:val="24"/>
          <w:szCs w:val="24"/>
        </w:rPr>
        <w:tab/>
        <w:t>16524,36</w:t>
      </w:r>
      <w:r>
        <w:rPr>
          <w:rFonts w:ascii="Times New Roman CYR" w:hAnsi="Times New Roman CYR" w:cs="Times New Roman CYR"/>
          <w:sz w:val="24"/>
          <w:szCs w:val="24"/>
        </w:rPr>
        <w:tab/>
        <w:t>100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Iнформацiї щодо засновникiв, яким належить iстотна участь в Статутному капiталi    ПрАТ "СК "САТIС":</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Яхниця Олександр Iгорович - Частка в статутному капiталi - 23,494646 %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Яхниця Iрина Сергiївна - Частка в статутному капiталi - 24,234342 %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Кiнцевий бенефiцiарний власник ПрАТ "СК "САТIС" Яхниця Олександр Iгорович.</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Страхова компанiя не випускала </w:t>
      </w:r>
      <w:r>
        <w:rPr>
          <w:rFonts w:ascii="Times New Roman CYR" w:hAnsi="Times New Roman CYR" w:cs="Times New Roman CYR"/>
          <w:sz w:val="24"/>
          <w:szCs w:val="24"/>
        </w:rPr>
        <w:t xml:space="preserve"> акцiй, призначених для випуску за умовами опцiонiв i контрактiв з продажу. </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Власний капiтал ПрАТ "СК "Сатiс" станом на 31.03.202 р. становить 46 926,0 тис.грн.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Таб.6.8.2. 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 статтi</w:t>
      </w:r>
      <w:r>
        <w:rPr>
          <w:rFonts w:ascii="Times New Roman CYR" w:hAnsi="Times New Roman CYR" w:cs="Times New Roman CYR"/>
          <w:sz w:val="24"/>
          <w:szCs w:val="24"/>
        </w:rPr>
        <w:tab/>
        <w:t>2023 рiк</w:t>
      </w:r>
      <w:r>
        <w:rPr>
          <w:rFonts w:ascii="Times New Roman CYR" w:hAnsi="Times New Roman CYR" w:cs="Times New Roman CYR"/>
          <w:sz w:val="24"/>
          <w:szCs w:val="24"/>
        </w:rPr>
        <w:tab/>
        <w:t>2022 рiк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Зареєстрований (пайовий) капiтал</w:t>
      </w:r>
      <w:r>
        <w:rPr>
          <w:rFonts w:ascii="Times New Roman CYR" w:hAnsi="Times New Roman CYR" w:cs="Times New Roman CYR"/>
          <w:sz w:val="24"/>
          <w:szCs w:val="24"/>
        </w:rPr>
        <w:tab/>
        <w:t>16 524</w:t>
      </w:r>
      <w:r>
        <w:rPr>
          <w:rFonts w:ascii="Times New Roman CYR" w:hAnsi="Times New Roman CYR" w:cs="Times New Roman CYR"/>
          <w:sz w:val="24"/>
          <w:szCs w:val="24"/>
        </w:rPr>
        <w:tab/>
        <w:t>16 524</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Капiтал у дооцiнках</w:t>
      </w:r>
      <w:r>
        <w:rPr>
          <w:rFonts w:ascii="Times New Roman CYR" w:hAnsi="Times New Roman CYR" w:cs="Times New Roman CYR"/>
          <w:sz w:val="24"/>
          <w:szCs w:val="24"/>
        </w:rPr>
        <w:tab/>
        <w:t>5 265</w:t>
      </w:r>
      <w:r>
        <w:rPr>
          <w:rFonts w:ascii="Times New Roman CYR" w:hAnsi="Times New Roman CYR" w:cs="Times New Roman CYR"/>
          <w:sz w:val="24"/>
          <w:szCs w:val="24"/>
        </w:rPr>
        <w:tab/>
        <w:t>5 265</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Додатковий капiтал</w:t>
      </w:r>
      <w:r>
        <w:rPr>
          <w:rFonts w:ascii="Times New Roman CYR" w:hAnsi="Times New Roman CYR" w:cs="Times New Roman CYR"/>
          <w:sz w:val="24"/>
          <w:szCs w:val="24"/>
        </w:rPr>
        <w:tab/>
        <w:t>19 287</w:t>
      </w:r>
      <w:r>
        <w:rPr>
          <w:rFonts w:ascii="Times New Roman CYR" w:hAnsi="Times New Roman CYR" w:cs="Times New Roman CYR"/>
          <w:sz w:val="24"/>
          <w:szCs w:val="24"/>
        </w:rPr>
        <w:tab/>
        <w:t>19 287</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Резервний капiтал</w:t>
      </w:r>
      <w:r>
        <w:rPr>
          <w:rFonts w:ascii="Times New Roman CYR" w:hAnsi="Times New Roman CYR" w:cs="Times New Roman CYR"/>
          <w:sz w:val="24"/>
          <w:szCs w:val="24"/>
        </w:rPr>
        <w:tab/>
        <w:t>6 579</w:t>
      </w:r>
      <w:r>
        <w:rPr>
          <w:rFonts w:ascii="Times New Roman CYR" w:hAnsi="Times New Roman CYR" w:cs="Times New Roman CYR"/>
          <w:sz w:val="24"/>
          <w:szCs w:val="24"/>
        </w:rPr>
        <w:tab/>
        <w:t>6 579</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Нерозподiлений прибуток (непокритий зби</w:t>
      </w:r>
      <w:r>
        <w:rPr>
          <w:rFonts w:ascii="Times New Roman CYR" w:hAnsi="Times New Roman CYR" w:cs="Times New Roman CYR"/>
          <w:sz w:val="24"/>
          <w:szCs w:val="24"/>
        </w:rPr>
        <w:t>ток)</w:t>
      </w:r>
      <w:r>
        <w:rPr>
          <w:rFonts w:ascii="Times New Roman CYR" w:hAnsi="Times New Roman CYR" w:cs="Times New Roman CYR"/>
          <w:sz w:val="24"/>
          <w:szCs w:val="24"/>
        </w:rPr>
        <w:tab/>
        <w:t>(729)</w:t>
      </w:r>
      <w:r>
        <w:rPr>
          <w:rFonts w:ascii="Times New Roman CYR" w:hAnsi="Times New Roman CYR" w:cs="Times New Roman CYR"/>
          <w:sz w:val="24"/>
          <w:szCs w:val="24"/>
        </w:rPr>
        <w:tab/>
        <w:t>(50)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Усього </w:t>
      </w:r>
      <w:r>
        <w:rPr>
          <w:rFonts w:ascii="Times New Roman CYR" w:hAnsi="Times New Roman CYR" w:cs="Times New Roman CYR"/>
          <w:sz w:val="24"/>
          <w:szCs w:val="24"/>
        </w:rPr>
        <w:tab/>
        <w:t>46 926</w:t>
      </w:r>
      <w:r>
        <w:rPr>
          <w:rFonts w:ascii="Times New Roman CYR" w:hAnsi="Times New Roman CYR" w:cs="Times New Roman CYR"/>
          <w:sz w:val="24"/>
          <w:szCs w:val="24"/>
        </w:rPr>
        <w:tab/>
        <w:t>47 605</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6.9.  Довгостроковi зобов'язання i забезпечення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 i визнання зобов'язань та резервiв Товариства здiйснюється вiдповiдно до МСБО 37 "Забезпечення, умовнi зобов'язання та умовнi активи".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Резерви визнаються, я</w:t>
      </w:r>
      <w:r>
        <w:rPr>
          <w:rFonts w:ascii="Times New Roman CYR" w:hAnsi="Times New Roman CYR" w:cs="Times New Roman CYR"/>
          <w:sz w:val="24"/>
          <w:szCs w:val="24"/>
        </w:rPr>
        <w:t>кщо Товариство в результатi певної подiї в минулому має юридичнi або фактичнi зобов'язання, для врегулювання яких з бiльшим ступенем iмовiрностi буде потрiбно вiдтiк ресурсiв, i якi можна оцiнити з достатньою надiйнiстю.</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визнає в якостi резервi</w:t>
      </w:r>
      <w:r>
        <w:rPr>
          <w:rFonts w:ascii="Times New Roman CYR" w:hAnsi="Times New Roman CYR" w:cs="Times New Roman CYR"/>
          <w:sz w:val="24"/>
          <w:szCs w:val="24"/>
        </w:rPr>
        <w:t xml:space="preserve">в - резерв вiдпусток.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31 гберезня  2023 р. вiн складає 229,0 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Страховi резерви є оцiнкою обсягу зобов'язань Товариства для здiйснення майбутнiх виплат страхового вiдшкодування за договорами страхування (перестрахування).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Компанiєю сфо</w:t>
      </w:r>
      <w:r>
        <w:rPr>
          <w:rFonts w:ascii="Times New Roman CYR" w:hAnsi="Times New Roman CYR" w:cs="Times New Roman CYR"/>
          <w:sz w:val="24"/>
          <w:szCs w:val="24"/>
        </w:rPr>
        <w:t>рмовано резерв незароблених премiй (РНП)</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- 1 837,0 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6.10. Поточнi зобов'язання i забезпечення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Зобов'язання страхової компанiї, класифiкуються на довгостроковi (строк погашення понад 12 мiсяцiв) i поточнi (термiн погашення до 12 мiсяцiв).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Поточна кредиторська заборгованiсть вiдображена в балансi за первiсною вартiстю, яка дорiвнює справедливiй вартостi отриманих активiв або послуг.</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Поточнi зобов`язання виглядають так: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t xml:space="preserve">  Таб.6.9.1.(тис.грн.)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 с</w:t>
      </w:r>
      <w:r>
        <w:rPr>
          <w:rFonts w:ascii="Times New Roman CYR" w:hAnsi="Times New Roman CYR" w:cs="Times New Roman CYR"/>
          <w:sz w:val="24"/>
          <w:szCs w:val="24"/>
        </w:rPr>
        <w:t>таттi</w:t>
      </w:r>
      <w:r>
        <w:rPr>
          <w:rFonts w:ascii="Times New Roman CYR" w:hAnsi="Times New Roman CYR" w:cs="Times New Roman CYR"/>
          <w:sz w:val="24"/>
          <w:szCs w:val="24"/>
        </w:rPr>
        <w:tab/>
        <w:t>2023 рiк</w:t>
      </w:r>
      <w:r>
        <w:rPr>
          <w:rFonts w:ascii="Times New Roman CYR" w:hAnsi="Times New Roman CYR" w:cs="Times New Roman CYR"/>
          <w:sz w:val="24"/>
          <w:szCs w:val="24"/>
        </w:rPr>
        <w:tab/>
        <w:t>2022 рiк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Поточнi зобов'язання за розрахунками:</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 бюджетом</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у тому числi з податку на прибуток</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 оплата працi</w:t>
      </w:r>
      <w:r>
        <w:rPr>
          <w:rFonts w:ascii="Times New Roman CYR" w:hAnsi="Times New Roman CYR" w:cs="Times New Roman CYR"/>
          <w:sz w:val="24"/>
          <w:szCs w:val="24"/>
        </w:rPr>
        <w:tab/>
        <w:t>50,0</w:t>
      </w:r>
      <w:r>
        <w:rPr>
          <w:rFonts w:ascii="Times New Roman CYR" w:hAnsi="Times New Roman CYR" w:cs="Times New Roman CYR"/>
          <w:sz w:val="24"/>
          <w:szCs w:val="24"/>
        </w:rPr>
        <w:tab/>
        <w:t>30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зi страхування</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 учасниками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Поточна кредиторська заборгованiсть за страховою дiяльнiстю</w:t>
      </w:r>
      <w:r>
        <w:rPr>
          <w:rFonts w:ascii="Times New Roman CYR" w:hAnsi="Times New Roman CYR" w:cs="Times New Roman CYR"/>
          <w:sz w:val="24"/>
          <w:szCs w:val="24"/>
        </w:rPr>
        <w:tab/>
      </w:r>
      <w:r>
        <w:rPr>
          <w:rFonts w:ascii="Times New Roman CYR" w:hAnsi="Times New Roman CYR" w:cs="Times New Roman CYR"/>
          <w:sz w:val="24"/>
          <w:szCs w:val="24"/>
        </w:rPr>
        <w:t>807,0</w:t>
      </w:r>
      <w:r>
        <w:rPr>
          <w:rFonts w:ascii="Times New Roman CYR" w:hAnsi="Times New Roman CYR" w:cs="Times New Roman CYR"/>
          <w:sz w:val="24"/>
          <w:szCs w:val="24"/>
        </w:rPr>
        <w:tab/>
        <w:t>1 205,0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тому числi:</w:t>
      </w:r>
      <w:r>
        <w:rPr>
          <w:rFonts w:ascii="Times New Roman CYR" w:hAnsi="Times New Roman CYR" w:cs="Times New Roman CYR"/>
          <w:sz w:val="24"/>
          <w:szCs w:val="24"/>
        </w:rPr>
        <w:tab/>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зi состраховиками  та страховиками</w:t>
      </w:r>
      <w:r>
        <w:rPr>
          <w:rFonts w:ascii="Times New Roman CYR" w:hAnsi="Times New Roman CYR" w:cs="Times New Roman CYR"/>
          <w:sz w:val="24"/>
          <w:szCs w:val="24"/>
        </w:rPr>
        <w:tab/>
        <w:t>14,0</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 перестраховиками</w:t>
      </w:r>
      <w:r>
        <w:rPr>
          <w:rFonts w:ascii="Times New Roman CYR" w:hAnsi="Times New Roman CYR" w:cs="Times New Roman CYR"/>
          <w:sz w:val="24"/>
          <w:szCs w:val="24"/>
        </w:rPr>
        <w:tab/>
        <w:t>5,0</w:t>
      </w:r>
      <w:r>
        <w:rPr>
          <w:rFonts w:ascii="Times New Roman CYR" w:hAnsi="Times New Roman CYR" w:cs="Times New Roman CYR"/>
          <w:sz w:val="24"/>
          <w:szCs w:val="24"/>
        </w:rPr>
        <w:tab/>
        <w:t>16,0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зi страховими агентами</w:t>
      </w:r>
      <w:r>
        <w:rPr>
          <w:rFonts w:ascii="Times New Roman CYR" w:hAnsi="Times New Roman CYR" w:cs="Times New Roman CYR"/>
          <w:sz w:val="24"/>
          <w:szCs w:val="24"/>
        </w:rPr>
        <w:tab/>
        <w:t>788,0</w:t>
      </w:r>
      <w:r>
        <w:rPr>
          <w:rFonts w:ascii="Times New Roman CYR" w:hAnsi="Times New Roman CYR" w:cs="Times New Roman CYR"/>
          <w:sz w:val="24"/>
          <w:szCs w:val="24"/>
        </w:rPr>
        <w:tab/>
        <w:t>431,0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Кредиторська заборгованiсть за товари, роботи, послуги</w:t>
      </w:r>
      <w:r>
        <w:rPr>
          <w:rFonts w:ascii="Times New Roman CYR" w:hAnsi="Times New Roman CYR" w:cs="Times New Roman CYR"/>
          <w:sz w:val="24"/>
          <w:szCs w:val="24"/>
        </w:rPr>
        <w:tab/>
        <w:t>822,0</w:t>
      </w:r>
      <w:r>
        <w:rPr>
          <w:rFonts w:ascii="Times New Roman CYR" w:hAnsi="Times New Roman CYR" w:cs="Times New Roman CYR"/>
          <w:sz w:val="24"/>
          <w:szCs w:val="24"/>
        </w:rPr>
        <w:tab/>
        <w:t>758,0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розрахунками з iншими кредиторами</w:t>
      </w:r>
      <w:r>
        <w:rPr>
          <w:rFonts w:ascii="Times New Roman CYR" w:hAnsi="Times New Roman CYR" w:cs="Times New Roman CYR"/>
          <w:sz w:val="24"/>
          <w:szCs w:val="24"/>
        </w:rPr>
        <w:tab/>
        <w:t xml:space="preserve">          490,0</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48,0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орендне зобов'язання за договорами оренди нерухомостi</w:t>
      </w:r>
      <w:r>
        <w:rPr>
          <w:rFonts w:ascii="Times New Roman CYR" w:hAnsi="Times New Roman CYR" w:cs="Times New Roman CYR"/>
          <w:sz w:val="24"/>
          <w:szCs w:val="24"/>
        </w:rPr>
        <w:tab/>
        <w:t>218,0</w:t>
      </w:r>
      <w:r>
        <w:rPr>
          <w:rFonts w:ascii="Times New Roman CYR" w:hAnsi="Times New Roman CYR" w:cs="Times New Roman CYR"/>
          <w:sz w:val="24"/>
          <w:szCs w:val="24"/>
        </w:rPr>
        <w:tab/>
        <w:t>135,0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договорами оренди обладнання</w:t>
      </w:r>
      <w:r>
        <w:rPr>
          <w:rFonts w:ascii="Times New Roman CYR" w:hAnsi="Times New Roman CYR" w:cs="Times New Roman CYR"/>
          <w:sz w:val="24"/>
          <w:szCs w:val="24"/>
        </w:rPr>
        <w:tab/>
        <w:t>114,0</w:t>
      </w:r>
      <w:r>
        <w:rPr>
          <w:rFonts w:ascii="Times New Roman CYR" w:hAnsi="Times New Roman CYR" w:cs="Times New Roman CYR"/>
          <w:sz w:val="24"/>
          <w:szCs w:val="24"/>
        </w:rPr>
        <w:tab/>
        <w:t>575,0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основними засобами</w:t>
      </w:r>
      <w:r>
        <w:rPr>
          <w:rFonts w:ascii="Times New Roman CYR" w:hAnsi="Times New Roman CYR" w:cs="Times New Roman CYR"/>
          <w:sz w:val="24"/>
          <w:szCs w:val="24"/>
        </w:rPr>
        <w:tab/>
        <w:t>0</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поточнi зобов'язання</w:t>
      </w:r>
      <w:r>
        <w:rPr>
          <w:rFonts w:ascii="Times New Roman CYR" w:hAnsi="Times New Roman CYR" w:cs="Times New Roman CYR"/>
          <w:sz w:val="24"/>
          <w:szCs w:val="24"/>
        </w:rPr>
        <w:tab/>
        <w:t>-1</w:t>
      </w:r>
      <w:r>
        <w:rPr>
          <w:rFonts w:ascii="Times New Roman CYR" w:hAnsi="Times New Roman CYR" w:cs="Times New Roman CYR"/>
          <w:sz w:val="24"/>
          <w:szCs w:val="24"/>
        </w:rPr>
        <w:tab/>
        <w:t>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6.11. Тест на а</w:t>
      </w:r>
      <w:r>
        <w:rPr>
          <w:rFonts w:ascii="Times New Roman CYR" w:hAnsi="Times New Roman CYR" w:cs="Times New Roman CYR"/>
          <w:sz w:val="24"/>
          <w:szCs w:val="24"/>
        </w:rPr>
        <w:t xml:space="preserve">декватнiсть зобов'язань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Вiдповiдно до вимог МСФЗ оцiнцi адекватностi страхових зобов'язань пiдлягали резерв незароблених премiй, резерв заявлених, але не виплачених збиткiв, резерв збиткiв, якi виникли, але не заявленi.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Результат т</w:t>
      </w:r>
      <w:r>
        <w:rPr>
          <w:rFonts w:ascii="Times New Roman CYR" w:hAnsi="Times New Roman CYR" w:cs="Times New Roman CYR"/>
          <w:sz w:val="24"/>
          <w:szCs w:val="24"/>
        </w:rPr>
        <w:t>есту адекватностi  сформованих резервiв  незароблених премiй засвiдчує, що сформованi  резерви цiлком достатнi  для покриття збиткiв за договорами, що дiють на 31.03.2023 року.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Розмiр сформованих страхових резервiв та розмiр страхових резервiв з ур</w:t>
      </w:r>
      <w:r>
        <w:rPr>
          <w:rFonts w:ascii="Times New Roman CYR" w:hAnsi="Times New Roman CYR" w:cs="Times New Roman CYR"/>
          <w:sz w:val="24"/>
          <w:szCs w:val="24"/>
        </w:rPr>
        <w:t>ахуванням тесту адекватностi зобов'язань наведено у наступнiй таблицi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Назва резерву</w:t>
      </w:r>
      <w:r>
        <w:rPr>
          <w:rFonts w:ascii="Times New Roman CYR" w:hAnsi="Times New Roman CYR" w:cs="Times New Roman CYR"/>
          <w:sz w:val="24"/>
          <w:szCs w:val="24"/>
        </w:rPr>
        <w:tab/>
        <w:t xml:space="preserve">Сформовано Товариством станом на 31.12.2022 року </w:t>
      </w:r>
      <w:r>
        <w:rPr>
          <w:rFonts w:ascii="Times New Roman CYR" w:hAnsi="Times New Roman CYR" w:cs="Times New Roman CYR"/>
          <w:sz w:val="24"/>
          <w:szCs w:val="24"/>
        </w:rPr>
        <w:tab/>
        <w:t>Розмiр з урахуванням тесту адекватностi зобов'язань станом на 31.03.2023 року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Ре</w:t>
      </w:r>
      <w:r>
        <w:rPr>
          <w:rFonts w:ascii="Times New Roman CYR" w:hAnsi="Times New Roman CYR" w:cs="Times New Roman CYR"/>
          <w:sz w:val="24"/>
          <w:szCs w:val="24"/>
        </w:rPr>
        <w:t>зерв незароблених премiй</w:t>
      </w:r>
      <w:r>
        <w:rPr>
          <w:rFonts w:ascii="Times New Roman CYR" w:hAnsi="Times New Roman CYR" w:cs="Times New Roman CYR"/>
          <w:sz w:val="24"/>
          <w:szCs w:val="24"/>
        </w:rPr>
        <w:tab/>
        <w:t>1300,0</w:t>
      </w:r>
      <w:r>
        <w:rPr>
          <w:rFonts w:ascii="Times New Roman CYR" w:hAnsi="Times New Roman CYR" w:cs="Times New Roman CYR"/>
          <w:sz w:val="24"/>
          <w:szCs w:val="24"/>
        </w:rPr>
        <w:tab/>
        <w:t>1 837,0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t>Резерв збиткiв, що заявленi, але не виплаченi</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Всього</w:t>
      </w:r>
      <w:r>
        <w:rPr>
          <w:rFonts w:ascii="Times New Roman CYR" w:hAnsi="Times New Roman CYR" w:cs="Times New Roman CYR"/>
          <w:sz w:val="24"/>
          <w:szCs w:val="24"/>
        </w:rPr>
        <w:tab/>
        <w:t>1300,0</w:t>
      </w:r>
      <w:r>
        <w:rPr>
          <w:rFonts w:ascii="Times New Roman CYR" w:hAnsi="Times New Roman CYR" w:cs="Times New Roman CYR"/>
          <w:sz w:val="24"/>
          <w:szCs w:val="24"/>
        </w:rPr>
        <w:tab/>
        <w:t>1 837,0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Актуарiй Борець Владислав Анатолiйович - Свiдоцтво  про вiдповiднiсть квалiфiкацiйним вимогам до осiб, якi можуть займатися актуарними роз</w:t>
      </w:r>
      <w:r>
        <w:rPr>
          <w:rFonts w:ascii="Times New Roman CYR" w:hAnsi="Times New Roman CYR" w:cs="Times New Roman CYR"/>
          <w:sz w:val="24"/>
          <w:szCs w:val="24"/>
        </w:rPr>
        <w:t xml:space="preserve">рахунками №01-32 вiд 15.05.2018р.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Згiдно Звiту Активи Страховика є достатнiми для виконання поточних та потенцiйних зобов'язань перед страхувальниками як в довгостроковому, так й в короткостроковому перiодi.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6.12.  Потенцiйнi зобов'язання Страхової </w:t>
      </w:r>
      <w:r>
        <w:rPr>
          <w:rFonts w:ascii="Times New Roman CYR" w:hAnsi="Times New Roman CYR" w:cs="Times New Roman CYR"/>
          <w:sz w:val="24"/>
          <w:szCs w:val="24"/>
        </w:rPr>
        <w:t xml:space="preserve"> компанiї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Розгляд справ у судi.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Станом на кiнець звiтного перiоду страхова компанiя, головним чином, виступає у судових процесах у якостi позивача до третiх осiб по регресивним вимогам.  Розгляд даної категорiї справ може передбачати лише отримання  </w:t>
      </w:r>
      <w:r>
        <w:rPr>
          <w:rFonts w:ascii="Times New Roman CYR" w:hAnsi="Times New Roman CYR" w:cs="Times New Roman CYR"/>
          <w:sz w:val="24"/>
          <w:szCs w:val="24"/>
        </w:rPr>
        <w:t xml:space="preserve">Страховою компанiєю доходiв у майбутньому в разi винесення позитивного рiшення суду та наявностi коштiв (майна) боржника для погашення суми боргу в межах процедури виконавчого провадження,  потенцiйних зобов'язань за даною категорiєю справ немає.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Тим не менш час вiд часу та в зв'язку iз звичайним веденням бiзнесу  страхова компанiя може бути притягнута до суду в якостi вiдповiдача. Вiдповiдно до власних оцiнок та внутрiшнiх професiйних консультацiй керiвництво Страхової компанiї вважає, що не має п</w:t>
      </w:r>
      <w:r>
        <w:rPr>
          <w:rFonts w:ascii="Times New Roman CYR" w:hAnsi="Times New Roman CYR" w:cs="Times New Roman CYR"/>
          <w:sz w:val="24"/>
          <w:szCs w:val="24"/>
        </w:rPr>
        <w:t>iдстав очiкувати суттєвих збиткiв в зв'язку iз такими справами та вiдповiдно вiдсутня необхiднiсть в формуваннi резервiв у фiнансовiй звiтностi.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Можливiсть виникнення потенцiйних податкових зобов'язань.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Податковi перiоди залишаються вiдкритими для пер</w:t>
      </w:r>
      <w:r>
        <w:rPr>
          <w:rFonts w:ascii="Times New Roman CYR" w:hAnsi="Times New Roman CYR" w:cs="Times New Roman CYR"/>
          <w:sz w:val="24"/>
          <w:szCs w:val="24"/>
        </w:rPr>
        <w:t>евiрки контролюючими органами щодо нарахованих податкiв протягом трьох рокiв з дати узгодження податкового зобов'язання (граничного термiну для подання податкової декларацiї або подання уточнюючої декларацiї). За певних обставин перевiрки можуть здiйснюват</w:t>
      </w:r>
      <w:r>
        <w:rPr>
          <w:rFonts w:ascii="Times New Roman CYR" w:hAnsi="Times New Roman CYR" w:cs="Times New Roman CYR"/>
          <w:sz w:val="24"/>
          <w:szCs w:val="24"/>
        </w:rPr>
        <w:t>ися  i щодо бiльших перiодiв,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31 березня 2023 року не iснує iнших непередбачених зобов'язань, що пов'язанi з виникненням податкових зобов'язань. Товариство своєчасно складає i подає податкову звiтнiсть та сплачує вiдповiднi податки та збори до б</w:t>
      </w:r>
      <w:r>
        <w:rPr>
          <w:rFonts w:ascii="Times New Roman CYR" w:hAnsi="Times New Roman CYR" w:cs="Times New Roman CYR"/>
          <w:sz w:val="24"/>
          <w:szCs w:val="24"/>
        </w:rPr>
        <w:t>юджету та позабюджетних фондiв.           в) Дотримання особливих вимог.</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Договори, укладенi Товариством, не мiстять особливих вимог щодо дотримання певних умов.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6.13. Доход  вiд страхових премiй</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Таб.6.13 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 статтi</w:t>
      </w:r>
      <w:r>
        <w:rPr>
          <w:rFonts w:ascii="Times New Roman CYR" w:hAnsi="Times New Roman CYR" w:cs="Times New Roman CYR"/>
          <w:sz w:val="24"/>
          <w:szCs w:val="24"/>
        </w:rPr>
        <w:tab/>
        <w:t>1 кв.2022рiк</w:t>
      </w:r>
      <w:r>
        <w:rPr>
          <w:rFonts w:ascii="Times New Roman CYR" w:hAnsi="Times New Roman CYR" w:cs="Times New Roman CYR"/>
          <w:sz w:val="24"/>
          <w:szCs w:val="24"/>
        </w:rPr>
        <w:tab/>
        <w:t xml:space="preserve"> 1 кв.2023 рiк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Медичне страхування (безперервне страхування здоров''я)</w:t>
      </w:r>
      <w:r>
        <w:rPr>
          <w:rFonts w:ascii="Times New Roman CYR" w:hAnsi="Times New Roman CYR" w:cs="Times New Roman CYR"/>
          <w:sz w:val="24"/>
          <w:szCs w:val="24"/>
        </w:rPr>
        <w:tab/>
        <w:t xml:space="preserve"> 1047,0</w:t>
      </w:r>
      <w:r>
        <w:rPr>
          <w:rFonts w:ascii="Times New Roman CYR" w:hAnsi="Times New Roman CYR" w:cs="Times New Roman CYR"/>
          <w:sz w:val="24"/>
          <w:szCs w:val="24"/>
        </w:rPr>
        <w:tab/>
        <w:t>6 232,0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Медичнi витрати</w:t>
      </w:r>
      <w:r>
        <w:rPr>
          <w:rFonts w:ascii="Times New Roman CYR" w:hAnsi="Times New Roman CYR" w:cs="Times New Roman CYR"/>
          <w:sz w:val="24"/>
          <w:szCs w:val="24"/>
        </w:rPr>
        <w:tab/>
        <w:t>-</w:t>
      </w:r>
      <w:r>
        <w:rPr>
          <w:rFonts w:ascii="Times New Roman CYR" w:hAnsi="Times New Roman CYR" w:cs="Times New Roman CYR"/>
          <w:sz w:val="24"/>
          <w:szCs w:val="24"/>
        </w:rPr>
        <w:tab/>
        <w:t>2,0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вантажiв та багажу</w:t>
      </w:r>
      <w:r>
        <w:rPr>
          <w:rFonts w:ascii="Times New Roman CYR" w:hAnsi="Times New Roman CYR" w:cs="Times New Roman CYR"/>
          <w:sz w:val="24"/>
          <w:szCs w:val="24"/>
        </w:rPr>
        <w:tab/>
        <w:t>-</w:t>
      </w:r>
      <w:r>
        <w:rPr>
          <w:rFonts w:ascii="Times New Roman CYR" w:hAnsi="Times New Roman CYR" w:cs="Times New Roman CYR"/>
          <w:sz w:val="24"/>
          <w:szCs w:val="24"/>
        </w:rPr>
        <w:tab/>
        <w:t>16,0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вiд вог</w:t>
      </w:r>
      <w:r>
        <w:rPr>
          <w:rFonts w:ascii="Times New Roman CYR" w:hAnsi="Times New Roman CYR" w:cs="Times New Roman CYR"/>
          <w:sz w:val="24"/>
          <w:szCs w:val="24"/>
        </w:rPr>
        <w:t>невих ризикiв та ризикiв стихiйних явищ</w:t>
      </w:r>
      <w:r>
        <w:rPr>
          <w:rFonts w:ascii="Times New Roman CYR" w:hAnsi="Times New Roman CYR" w:cs="Times New Roman CYR"/>
          <w:sz w:val="24"/>
          <w:szCs w:val="24"/>
        </w:rPr>
        <w:tab/>
        <w:t>98 ,0</w:t>
      </w:r>
      <w:r>
        <w:rPr>
          <w:rFonts w:ascii="Times New Roman CYR" w:hAnsi="Times New Roman CYR" w:cs="Times New Roman CYR"/>
          <w:sz w:val="24"/>
          <w:szCs w:val="24"/>
        </w:rPr>
        <w:tab/>
        <w:t>178 ,0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вiд нещасних випадкiв</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здоров"я на випадок хвороби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майна</w:t>
      </w:r>
      <w:r>
        <w:rPr>
          <w:rFonts w:ascii="Times New Roman CYR" w:hAnsi="Times New Roman CYR" w:cs="Times New Roman CYR"/>
          <w:sz w:val="24"/>
          <w:szCs w:val="24"/>
        </w:rPr>
        <w:tab/>
        <w:t>24 ,0</w:t>
      </w:r>
      <w:r>
        <w:rPr>
          <w:rFonts w:ascii="Times New Roman CYR" w:hAnsi="Times New Roman CYR" w:cs="Times New Roman CYR"/>
          <w:sz w:val="24"/>
          <w:szCs w:val="24"/>
        </w:rPr>
        <w:tab/>
        <w:t>45 ,0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наземного транспорту, крiм залiзничного</w:t>
      </w:r>
      <w:r>
        <w:rPr>
          <w:rFonts w:ascii="Times New Roman CYR" w:hAnsi="Times New Roman CYR" w:cs="Times New Roman CYR"/>
          <w:sz w:val="24"/>
          <w:szCs w:val="24"/>
        </w:rPr>
        <w:tab/>
        <w:t>102 ,0</w:t>
      </w:r>
      <w:r>
        <w:rPr>
          <w:rFonts w:ascii="Times New Roman CYR" w:hAnsi="Times New Roman CYR" w:cs="Times New Roman CYR"/>
          <w:sz w:val="24"/>
          <w:szCs w:val="24"/>
        </w:rPr>
        <w:tab/>
        <w:t>10 ,0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фiнансових ризикiв</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ЦВ перед третiми особами</w:t>
      </w:r>
      <w:r>
        <w:rPr>
          <w:rFonts w:ascii="Times New Roman CYR" w:hAnsi="Times New Roman CYR" w:cs="Times New Roman CYR"/>
          <w:sz w:val="24"/>
          <w:szCs w:val="24"/>
        </w:rPr>
        <w:tab/>
        <w:t>31,0</w:t>
      </w:r>
      <w:r>
        <w:rPr>
          <w:rFonts w:ascii="Times New Roman CYR" w:hAnsi="Times New Roman CYR" w:cs="Times New Roman CYR"/>
          <w:sz w:val="24"/>
          <w:szCs w:val="24"/>
        </w:rPr>
        <w:tab/>
        <w:t>56,,0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Разом</w:t>
      </w:r>
      <w:r>
        <w:rPr>
          <w:rFonts w:ascii="Times New Roman CYR" w:hAnsi="Times New Roman CYR" w:cs="Times New Roman CYR"/>
          <w:sz w:val="24"/>
          <w:szCs w:val="24"/>
        </w:rPr>
        <w:tab/>
        <w:t>1 299,0</w:t>
      </w:r>
      <w:r>
        <w:rPr>
          <w:rFonts w:ascii="Times New Roman CYR" w:hAnsi="Times New Roman CYR" w:cs="Times New Roman CYR"/>
          <w:sz w:val="24"/>
          <w:szCs w:val="24"/>
        </w:rPr>
        <w:tab/>
        <w:t>6 638,0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6.14.  Iншi операцiйнi доходи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Таб.6.14 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w:t>
      </w:r>
      <w:r>
        <w:rPr>
          <w:rFonts w:ascii="Times New Roman CYR" w:hAnsi="Times New Roman CYR" w:cs="Times New Roman CYR"/>
          <w:sz w:val="24"/>
          <w:szCs w:val="24"/>
        </w:rPr>
        <w:t>айменування статтi</w:t>
      </w:r>
      <w:r>
        <w:rPr>
          <w:rFonts w:ascii="Times New Roman CYR" w:hAnsi="Times New Roman CYR" w:cs="Times New Roman CYR"/>
          <w:sz w:val="24"/>
          <w:szCs w:val="24"/>
        </w:rPr>
        <w:tab/>
        <w:t xml:space="preserve"> 1 кв.2022 рiк</w:t>
      </w:r>
      <w:r>
        <w:rPr>
          <w:rFonts w:ascii="Times New Roman CYR" w:hAnsi="Times New Roman CYR" w:cs="Times New Roman CYR"/>
          <w:sz w:val="24"/>
          <w:szCs w:val="24"/>
        </w:rPr>
        <w:tab/>
        <w:t>1 кв.2023 рiк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Дохiд вiд надання послуг для iнших страховикiв та iнших послуг (виконання робiт)</w:t>
      </w:r>
      <w:r>
        <w:rPr>
          <w:rFonts w:ascii="Times New Roman CYR" w:hAnsi="Times New Roman CYR" w:cs="Times New Roman CYR"/>
          <w:sz w:val="24"/>
          <w:szCs w:val="24"/>
        </w:rPr>
        <w:tab/>
        <w:t>-</w:t>
      </w:r>
      <w:r>
        <w:rPr>
          <w:rFonts w:ascii="Times New Roman CYR" w:hAnsi="Times New Roman CYR" w:cs="Times New Roman CYR"/>
          <w:sz w:val="24"/>
          <w:szCs w:val="24"/>
        </w:rPr>
        <w:tab/>
        <w:t>0,2</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Суми, що повертаються iз технiчних резервiв, iнших, нiж резерви незароблених премiй, та iнших резервiв (кр</w:t>
      </w:r>
      <w:r>
        <w:rPr>
          <w:rFonts w:ascii="Times New Roman CYR" w:hAnsi="Times New Roman CYR" w:cs="Times New Roman CYR"/>
          <w:sz w:val="24"/>
          <w:szCs w:val="24"/>
        </w:rPr>
        <w:t>iм резервiв iз страхування життя)</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Частки страхових виплат i вiдшкодувань, компенсованi   перестраховиками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Частки викупних сум, що компенсуються  перестраховиками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Суми, що повертаються iз централiзованих страхових резервних фондiв</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Суми, вiд реалiзацiї права вимоги до особи, вiдповiдальної за заподiянi збитки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Суми дооцiнки необоротних активiв</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Iншi операцiйнi доходи</w:t>
      </w:r>
      <w:r>
        <w:rPr>
          <w:rFonts w:ascii="Times New Roman CYR" w:hAnsi="Times New Roman CYR" w:cs="Times New Roman CYR"/>
          <w:sz w:val="24"/>
          <w:szCs w:val="24"/>
        </w:rPr>
        <w:tab/>
        <w:t>-</w:t>
      </w:r>
      <w:r>
        <w:rPr>
          <w:rFonts w:ascii="Times New Roman CYR" w:hAnsi="Times New Roman CYR" w:cs="Times New Roman CYR"/>
          <w:sz w:val="24"/>
          <w:szCs w:val="24"/>
        </w:rPr>
        <w:tab/>
        <w:t>0,8</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 xml:space="preserve">Усього iнших операцiйних доходiв </w:t>
      </w:r>
      <w:r>
        <w:rPr>
          <w:rFonts w:ascii="Times New Roman CYR" w:hAnsi="Times New Roman CYR" w:cs="Times New Roman CYR"/>
          <w:sz w:val="24"/>
          <w:szCs w:val="24"/>
        </w:rPr>
        <w:tab/>
        <w:t>-</w:t>
      </w:r>
      <w:r>
        <w:rPr>
          <w:rFonts w:ascii="Times New Roman CYR" w:hAnsi="Times New Roman CYR" w:cs="Times New Roman CYR"/>
          <w:sz w:val="24"/>
          <w:szCs w:val="24"/>
        </w:rPr>
        <w:tab/>
        <w:t>1,0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6.15.  Адмiнiстративнi, витрати на збут та iншi опера</w:t>
      </w:r>
      <w:r>
        <w:rPr>
          <w:rFonts w:ascii="Times New Roman CYR" w:hAnsi="Times New Roman CYR" w:cs="Times New Roman CYR"/>
          <w:sz w:val="24"/>
          <w:szCs w:val="24"/>
        </w:rPr>
        <w:t>цiйнi витрати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Таб.6.15.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1 кв.2022рiк</w:t>
      </w:r>
      <w:r>
        <w:rPr>
          <w:rFonts w:ascii="Times New Roman CYR" w:hAnsi="Times New Roman CYR" w:cs="Times New Roman CYR"/>
          <w:sz w:val="24"/>
          <w:szCs w:val="24"/>
        </w:rPr>
        <w:tab/>
        <w:t>1 кв.2023 рiк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Адмiнiстративнi витрати:</w:t>
      </w:r>
      <w:r>
        <w:rPr>
          <w:rFonts w:ascii="Times New Roman CYR" w:hAnsi="Times New Roman CYR" w:cs="Times New Roman CYR"/>
          <w:sz w:val="24"/>
          <w:szCs w:val="24"/>
        </w:rPr>
        <w:tab/>
        <w:t>(943,0)</w:t>
      </w:r>
      <w:r>
        <w:rPr>
          <w:rFonts w:ascii="Times New Roman CYR" w:hAnsi="Times New Roman CYR" w:cs="Times New Roman CYR"/>
          <w:sz w:val="24"/>
          <w:szCs w:val="24"/>
        </w:rPr>
        <w:tab/>
        <w:t>(1 893,0)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 xml:space="preserve">Витрати на утримання персоналу </w:t>
      </w:r>
      <w:r>
        <w:rPr>
          <w:rFonts w:ascii="Times New Roman CYR" w:hAnsi="Times New Roman CYR" w:cs="Times New Roman CYR"/>
          <w:sz w:val="24"/>
          <w:szCs w:val="24"/>
        </w:rPr>
        <w:tab/>
        <w:t>(486,,0)</w:t>
      </w:r>
      <w:r>
        <w:rPr>
          <w:rFonts w:ascii="Times New Roman CYR" w:hAnsi="Times New Roman CYR" w:cs="Times New Roman CYR"/>
          <w:sz w:val="24"/>
          <w:szCs w:val="24"/>
        </w:rPr>
        <w:tab/>
        <w:t>(340,0)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Фформування резервiв пiд вiдпустки в сумi</w:t>
      </w:r>
      <w:r>
        <w:rPr>
          <w:rFonts w:ascii="Times New Roman CYR" w:hAnsi="Times New Roman CYR" w:cs="Times New Roman CYR"/>
          <w:sz w:val="24"/>
          <w:szCs w:val="24"/>
        </w:rPr>
        <w:tab/>
        <w:t>-</w:t>
      </w:r>
      <w:r>
        <w:rPr>
          <w:rFonts w:ascii="Times New Roman CYR" w:hAnsi="Times New Roman CYR" w:cs="Times New Roman CYR"/>
          <w:sz w:val="24"/>
          <w:szCs w:val="24"/>
        </w:rPr>
        <w:tab/>
        <w:t>(15,0)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Iншi адмiнiстративнi  витрати</w:t>
      </w:r>
      <w:r>
        <w:rPr>
          <w:rFonts w:ascii="Times New Roman CYR" w:hAnsi="Times New Roman CYR" w:cs="Times New Roman CYR"/>
          <w:sz w:val="24"/>
          <w:szCs w:val="24"/>
        </w:rPr>
        <w:tab/>
        <w:t>(457,0)</w:t>
      </w:r>
      <w:r>
        <w:rPr>
          <w:rFonts w:ascii="Times New Roman CYR" w:hAnsi="Times New Roman CYR" w:cs="Times New Roman CYR"/>
          <w:sz w:val="24"/>
          <w:szCs w:val="24"/>
        </w:rPr>
        <w:tab/>
        <w:t>(1538,0)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Витрати на збут:</w:t>
      </w:r>
      <w:r>
        <w:rPr>
          <w:rFonts w:ascii="Times New Roman CYR" w:hAnsi="Times New Roman CYR" w:cs="Times New Roman CYR"/>
          <w:sz w:val="24"/>
          <w:szCs w:val="24"/>
        </w:rPr>
        <w:tab/>
        <w:t>(52,0)</w:t>
      </w:r>
      <w:r>
        <w:rPr>
          <w:rFonts w:ascii="Times New Roman CYR" w:hAnsi="Times New Roman CYR" w:cs="Times New Roman CYR"/>
          <w:sz w:val="24"/>
          <w:szCs w:val="24"/>
        </w:rPr>
        <w:tab/>
        <w:t>(26)</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 xml:space="preserve">Витрати на утримання персоналу </w:t>
      </w:r>
      <w:r>
        <w:rPr>
          <w:rFonts w:ascii="Times New Roman CYR" w:hAnsi="Times New Roman CYR" w:cs="Times New Roman CYR"/>
          <w:sz w:val="24"/>
          <w:szCs w:val="24"/>
        </w:rPr>
        <w:tab/>
        <w:t>(5,0)</w:t>
      </w:r>
      <w:r>
        <w:rPr>
          <w:rFonts w:ascii="Times New Roman CYR" w:hAnsi="Times New Roman CYR" w:cs="Times New Roman CYR"/>
          <w:sz w:val="24"/>
          <w:szCs w:val="24"/>
        </w:rPr>
        <w:tab/>
        <w:t>(20,,0)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 xml:space="preserve">Амортизацiя основних засобiв </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 xml:space="preserve">Витрати, пов'язанi з укладанням та пролонгацiєю договорiв страхування (агентська,  </w:t>
      </w:r>
      <w:r>
        <w:rPr>
          <w:rFonts w:ascii="Times New Roman CYR" w:hAnsi="Times New Roman CYR" w:cs="Times New Roman CYR"/>
          <w:sz w:val="24"/>
          <w:szCs w:val="24"/>
        </w:rPr>
        <w:t>брокерська, комiсiйна винагорода)</w:t>
      </w:r>
      <w:r>
        <w:rPr>
          <w:rFonts w:ascii="Times New Roman CYR" w:hAnsi="Times New Roman CYR" w:cs="Times New Roman CYR"/>
          <w:sz w:val="24"/>
          <w:szCs w:val="24"/>
        </w:rPr>
        <w:tab/>
        <w:t>(47,0)</w:t>
      </w:r>
      <w:r>
        <w:rPr>
          <w:rFonts w:ascii="Times New Roman CYR" w:hAnsi="Times New Roman CYR" w:cs="Times New Roman CYR"/>
          <w:sz w:val="24"/>
          <w:szCs w:val="24"/>
        </w:rPr>
        <w:tab/>
        <w:t>(1 325,0)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 xml:space="preserve">Витрати на маркетинг та рекламу </w:t>
      </w:r>
      <w:r>
        <w:rPr>
          <w:rFonts w:ascii="Times New Roman CYR" w:hAnsi="Times New Roman CYR" w:cs="Times New Roman CYR"/>
          <w:sz w:val="24"/>
          <w:szCs w:val="24"/>
        </w:rPr>
        <w:tab/>
        <w:t>(-)</w:t>
      </w:r>
      <w:r>
        <w:rPr>
          <w:rFonts w:ascii="Times New Roman CYR" w:hAnsi="Times New Roman CYR" w:cs="Times New Roman CYR"/>
          <w:sz w:val="24"/>
          <w:szCs w:val="24"/>
        </w:rPr>
        <w:tab/>
        <w:t>(6,0)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Iншi витрати на збут послуг</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Iншi операцiйнi витрати,у т.ч.</w:t>
      </w:r>
      <w:r>
        <w:rPr>
          <w:rFonts w:ascii="Times New Roman CYR" w:hAnsi="Times New Roman CYR" w:cs="Times New Roman CYR"/>
          <w:sz w:val="24"/>
          <w:szCs w:val="24"/>
        </w:rPr>
        <w:tab/>
        <w:t>(88Є,0)</w:t>
      </w:r>
      <w:r>
        <w:rPr>
          <w:rFonts w:ascii="Times New Roman CYR" w:hAnsi="Times New Roman CYR" w:cs="Times New Roman CYR"/>
          <w:sz w:val="24"/>
          <w:szCs w:val="24"/>
        </w:rPr>
        <w:tab/>
        <w:t>(2 047,0)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Суми уцiнки необоротних активiв</w:t>
      </w:r>
      <w:r>
        <w:rPr>
          <w:rFonts w:ascii="Times New Roman CYR" w:hAnsi="Times New Roman CYR" w:cs="Times New Roman CYR"/>
          <w:sz w:val="24"/>
          <w:szCs w:val="24"/>
        </w:rPr>
        <w:tab/>
        <w:t>-</w:t>
      </w:r>
      <w:r>
        <w:rPr>
          <w:rFonts w:ascii="Times New Roman CYR" w:hAnsi="Times New Roman CYR" w:cs="Times New Roman CYR"/>
          <w:sz w:val="24"/>
          <w:szCs w:val="24"/>
        </w:rPr>
        <w:tab/>
        <w:t>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Резерв очiкуваних кредитних зби</w:t>
      </w:r>
      <w:r>
        <w:rPr>
          <w:rFonts w:ascii="Times New Roman CYR" w:hAnsi="Times New Roman CYR" w:cs="Times New Roman CYR"/>
          <w:sz w:val="24"/>
          <w:szCs w:val="24"/>
        </w:rPr>
        <w:t>ткiв</w:t>
      </w:r>
      <w:r>
        <w:rPr>
          <w:rFonts w:ascii="Times New Roman CYR" w:hAnsi="Times New Roman CYR" w:cs="Times New Roman CYR"/>
          <w:sz w:val="24"/>
          <w:szCs w:val="24"/>
        </w:rPr>
        <w:tab/>
        <w:t xml:space="preserve">      (0)</w:t>
      </w:r>
      <w:r>
        <w:rPr>
          <w:rFonts w:ascii="Times New Roman CYR" w:hAnsi="Times New Roman CYR" w:cs="Times New Roman CYR"/>
          <w:sz w:val="24"/>
          <w:szCs w:val="24"/>
        </w:rPr>
        <w:tab/>
        <w:t xml:space="preserve">      (0)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Усього адмiнiстративних, збутових та iнших операцiйних витрат </w:t>
      </w:r>
      <w:r>
        <w:rPr>
          <w:rFonts w:ascii="Times New Roman CYR" w:hAnsi="Times New Roman CYR" w:cs="Times New Roman CYR"/>
          <w:sz w:val="24"/>
          <w:szCs w:val="24"/>
        </w:rPr>
        <w:tab/>
        <w:t>(1 091,0)</w:t>
      </w:r>
      <w:r>
        <w:rPr>
          <w:rFonts w:ascii="Times New Roman CYR" w:hAnsi="Times New Roman CYR" w:cs="Times New Roman CYR"/>
          <w:sz w:val="24"/>
          <w:szCs w:val="24"/>
        </w:rPr>
        <w:tab/>
        <w:t>(5 817,0)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6.16.  Фiнансовi доходи i витрати, iншi доходи та витрати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Таб.6.16.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1 кв.2022 рiк</w:t>
      </w:r>
      <w:r>
        <w:rPr>
          <w:rFonts w:ascii="Times New Roman CYR" w:hAnsi="Times New Roman CYR" w:cs="Times New Roman CYR"/>
          <w:sz w:val="24"/>
          <w:szCs w:val="24"/>
        </w:rPr>
        <w:tab/>
        <w:t>1 кв.2023 рiк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Доходи вiд депозитiв</w:t>
      </w:r>
      <w:r>
        <w:rPr>
          <w:rFonts w:ascii="Times New Roman CYR" w:hAnsi="Times New Roman CYR" w:cs="Times New Roman CYR"/>
          <w:sz w:val="24"/>
          <w:szCs w:val="24"/>
        </w:rPr>
        <w:tab/>
        <w:t>58,0</w:t>
      </w:r>
      <w:r>
        <w:rPr>
          <w:rFonts w:ascii="Times New Roman CYR" w:hAnsi="Times New Roman CYR" w:cs="Times New Roman CYR"/>
          <w:sz w:val="24"/>
          <w:szCs w:val="24"/>
        </w:rPr>
        <w:tab/>
        <w:t>114,0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Iншi фiнансовi доходи(дохiд вiд участi в капiталi)</w:t>
      </w:r>
      <w:r>
        <w:rPr>
          <w:rFonts w:ascii="Times New Roman CYR" w:hAnsi="Times New Roman CYR" w:cs="Times New Roman CYR"/>
          <w:sz w:val="24"/>
          <w:szCs w:val="24"/>
        </w:rPr>
        <w:tab/>
        <w:t>0,0</w:t>
      </w:r>
      <w:r>
        <w:rPr>
          <w:rFonts w:ascii="Times New Roman CYR" w:hAnsi="Times New Roman CYR" w:cs="Times New Roman CYR"/>
          <w:sz w:val="24"/>
          <w:szCs w:val="24"/>
        </w:rPr>
        <w:tab/>
        <w:t>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Iншi доходи</w:t>
      </w:r>
      <w:r>
        <w:rPr>
          <w:rFonts w:ascii="Times New Roman CYR" w:hAnsi="Times New Roman CYR" w:cs="Times New Roman CYR"/>
          <w:sz w:val="24"/>
          <w:szCs w:val="24"/>
        </w:rPr>
        <w:tab/>
        <w:t>0</w:t>
      </w:r>
      <w:r>
        <w:rPr>
          <w:rFonts w:ascii="Times New Roman CYR" w:hAnsi="Times New Roman CYR" w:cs="Times New Roman CYR"/>
          <w:sz w:val="24"/>
          <w:szCs w:val="24"/>
        </w:rPr>
        <w:tab/>
        <w:t>8,0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Усього фiнансових та iнших доходiв</w:t>
      </w:r>
      <w:r>
        <w:rPr>
          <w:rFonts w:ascii="Times New Roman CYR" w:hAnsi="Times New Roman CYR" w:cs="Times New Roman CYR"/>
          <w:sz w:val="24"/>
          <w:szCs w:val="24"/>
        </w:rPr>
        <w:tab/>
        <w:t>58,0</w:t>
      </w:r>
      <w:r>
        <w:rPr>
          <w:rFonts w:ascii="Times New Roman CYR" w:hAnsi="Times New Roman CYR" w:cs="Times New Roman CYR"/>
          <w:sz w:val="24"/>
          <w:szCs w:val="24"/>
        </w:rPr>
        <w:tab/>
        <w:t>122,0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 xml:space="preserve">Проценти за користування кредитами </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Iншi фiнансовi витрати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w:t>
      </w:r>
      <w:r>
        <w:rPr>
          <w:rFonts w:ascii="Times New Roman CYR" w:hAnsi="Times New Roman CYR" w:cs="Times New Roman CYR"/>
          <w:sz w:val="24"/>
          <w:szCs w:val="24"/>
        </w:rPr>
        <w:tab/>
        <w:t xml:space="preserve">Iншi </w:t>
      </w:r>
      <w:r>
        <w:rPr>
          <w:rFonts w:ascii="Times New Roman CYR" w:hAnsi="Times New Roman CYR" w:cs="Times New Roman CYR"/>
          <w:sz w:val="24"/>
          <w:szCs w:val="24"/>
        </w:rPr>
        <w:t xml:space="preserve">витрати </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w:t>
      </w:r>
      <w:r>
        <w:rPr>
          <w:rFonts w:ascii="Times New Roman CYR" w:hAnsi="Times New Roman CYR" w:cs="Times New Roman CYR"/>
          <w:sz w:val="24"/>
          <w:szCs w:val="24"/>
        </w:rPr>
        <w:tab/>
        <w:t xml:space="preserve">Усього фiнансових витрат та iнших витрат </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До статтi iншi  витрати зокрема включено витрати: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витрати на придбання товарiв, робiт послуг не страхової дiяльностi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благодiйна допомога 0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6.17.  Витрати на податок на прибуток та визначення чистого прибутку (збитку)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Таб.6.17.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1 кв.2022 рiк</w:t>
      </w:r>
      <w:r>
        <w:rPr>
          <w:rFonts w:ascii="Times New Roman CYR" w:hAnsi="Times New Roman CYR" w:cs="Times New Roman CYR"/>
          <w:sz w:val="24"/>
          <w:szCs w:val="24"/>
        </w:rPr>
        <w:tab/>
        <w:t>1 кв.2023рiк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Прибуток (збиток)  до оподаткування</w:t>
      </w:r>
      <w:r>
        <w:rPr>
          <w:rFonts w:ascii="Times New Roman CYR" w:hAnsi="Times New Roman CYR" w:cs="Times New Roman CYR"/>
          <w:sz w:val="24"/>
          <w:szCs w:val="24"/>
        </w:rPr>
        <w:tab/>
        <w:t xml:space="preserve">   492,0,0</w:t>
      </w:r>
      <w:r>
        <w:rPr>
          <w:rFonts w:ascii="Times New Roman CYR" w:hAnsi="Times New Roman CYR" w:cs="Times New Roman CYR"/>
          <w:sz w:val="24"/>
          <w:szCs w:val="24"/>
        </w:rPr>
        <w:tab/>
        <w:t>(670,0)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 xml:space="preserve">Поточний податок на прибуток </w:t>
      </w:r>
      <w:r>
        <w:rPr>
          <w:rFonts w:ascii="Times New Roman CYR" w:hAnsi="Times New Roman CYR" w:cs="Times New Roman CYR"/>
          <w:sz w:val="24"/>
          <w:szCs w:val="24"/>
        </w:rPr>
        <w:tab/>
        <w:t>-</w:t>
      </w:r>
      <w:r>
        <w:rPr>
          <w:rFonts w:ascii="Times New Roman CYR" w:hAnsi="Times New Roman CYR" w:cs="Times New Roman CYR"/>
          <w:sz w:val="24"/>
          <w:szCs w:val="24"/>
        </w:rPr>
        <w:tab/>
        <w:t>(9,0)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зменшення (збiльшення) вiдстрочених податкових активiв</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(збiльшення) зменшення вiдстрочених податкових зобов'язань</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 xml:space="preserve"> Усього витрати на податок  на прибуток</w:t>
      </w:r>
      <w:r>
        <w:rPr>
          <w:rFonts w:ascii="Times New Roman CYR" w:hAnsi="Times New Roman CYR" w:cs="Times New Roman CYR"/>
          <w:sz w:val="24"/>
          <w:szCs w:val="24"/>
        </w:rPr>
        <w:tab/>
        <w:t>-</w:t>
      </w:r>
      <w:r>
        <w:rPr>
          <w:rFonts w:ascii="Times New Roman CYR" w:hAnsi="Times New Roman CYR" w:cs="Times New Roman CYR"/>
          <w:sz w:val="24"/>
          <w:szCs w:val="24"/>
        </w:rPr>
        <w:tab/>
        <w:t>(9,0)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Прибуток (збиток) поточного року</w:t>
      </w:r>
      <w:r>
        <w:rPr>
          <w:rFonts w:ascii="Times New Roman CYR" w:hAnsi="Times New Roman CYR" w:cs="Times New Roman CYR"/>
          <w:sz w:val="24"/>
          <w:szCs w:val="24"/>
        </w:rPr>
        <w:tab/>
        <w:t>492,0</w:t>
      </w:r>
      <w:r>
        <w:rPr>
          <w:rFonts w:ascii="Times New Roman CYR" w:hAnsi="Times New Roman CYR" w:cs="Times New Roman CYR"/>
          <w:sz w:val="24"/>
          <w:szCs w:val="24"/>
        </w:rPr>
        <w:tab/>
        <w:t>(679,0)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при визначеннi вi</w:t>
      </w:r>
      <w:r>
        <w:rPr>
          <w:rFonts w:ascii="Times New Roman CYR" w:hAnsi="Times New Roman CYR" w:cs="Times New Roman CYR"/>
          <w:sz w:val="24"/>
          <w:szCs w:val="24"/>
        </w:rPr>
        <w:t>дстрочених податкових активiв та зобов'язань,  суми податку на прибуток було визначено за наступними ставками: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 xml:space="preserve">При здiйсненнi страхової дiяльностi за ставкою  в розмiрi - 3%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За договорами добровiльного медичного страхування  -  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Податок на прибуток, за загальною ставкою в розмiрi - 18%;</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6.18. Операцiйнi сегменти.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 кiлькiсною ознакою операцiйними сегментами є географiчнi сегменти, а також сегменти по видах страхових продуктiв. Бiльш докладну iнформацiю про доходи та </w:t>
      </w:r>
      <w:r>
        <w:rPr>
          <w:rFonts w:ascii="Times New Roman CYR" w:hAnsi="Times New Roman CYR" w:cs="Times New Roman CYR"/>
          <w:sz w:val="24"/>
          <w:szCs w:val="24"/>
        </w:rPr>
        <w:t xml:space="preserve">витрати в розрiзi сегментiв Компанiї розкрито  в IR400002 "Показники дiяльностi з видiв добровiльного страхування, iнших, нiж страхування життя", якiй, в складi страхової звiтностi надається в НБУ.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6.19. Цiлi та полiтики управлiння фiнансовими ризикам</w:t>
      </w:r>
      <w:r>
        <w:rPr>
          <w:rFonts w:ascii="Times New Roman CYR" w:hAnsi="Times New Roman CYR" w:cs="Times New Roman CYR"/>
          <w:sz w:val="24"/>
          <w:szCs w:val="24"/>
        </w:rPr>
        <w:t xml:space="preserve">и.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фiнансовi зобов'язання Компанiї, включають страховi зобов'язання, позики, кредиторську заборгованiсть за товари, роботи, послуги та iншу поточну кредиторську заборгованiсть. Основною цiллю даних фiнансових зобов'язань є фiнансовi операцiї К</w:t>
      </w:r>
      <w:r>
        <w:rPr>
          <w:rFonts w:ascii="Times New Roman CYR" w:hAnsi="Times New Roman CYR" w:cs="Times New Roman CYR"/>
          <w:sz w:val="24"/>
          <w:szCs w:val="24"/>
        </w:rPr>
        <w:t xml:space="preserve">омпанiї. У Компанiї є дебiторська заборгованiсть за товари, роботи, послуги, iнша дебiторська заборгованiсть, грошовi кошти, депозити, довгостроковi фiнансовi iнвестицiї, якi виникають безпосередньо в ходi операцiйної дiяльностi.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iз управлiння</w:t>
      </w:r>
      <w:r>
        <w:rPr>
          <w:rFonts w:ascii="Times New Roman CYR" w:hAnsi="Times New Roman CYR" w:cs="Times New Roman CYR"/>
          <w:sz w:val="24"/>
          <w:szCs w:val="24"/>
        </w:rPr>
        <w:t xml:space="preserve"> ризиками є для Страховика систематичною, iнтегрованою в стратегiчне та оперативне управлiння на всiх рiвнях, що охоплює всi пiдроздiли i спiвробiтникiв пiд час виконання ними своїх функцiй у рамках будь-яких бiзнес-процесiв. Система управлiння ризиками ст</w:t>
      </w:r>
      <w:r>
        <w:rPr>
          <w:rFonts w:ascii="Times New Roman CYR" w:hAnsi="Times New Roman CYR" w:cs="Times New Roman CYR"/>
          <w:sz w:val="24"/>
          <w:szCs w:val="24"/>
        </w:rPr>
        <w:t>раховика - ПрАТ "СК "САТIС" побудована i функцiонує у вiдповiдностi до "Вимог до органiзацiї i функцiонування системи управлiння ризиками у страховика", затверджених розпорядженням Нацкомфiнпослуг вiд 04.02.2014р. № 295 i зареєстрованих в Мiнiстерствi юсти</w:t>
      </w:r>
      <w:r>
        <w:rPr>
          <w:rFonts w:ascii="Times New Roman CYR" w:hAnsi="Times New Roman CYR" w:cs="Times New Roman CYR"/>
          <w:sz w:val="24"/>
          <w:szCs w:val="24"/>
        </w:rPr>
        <w:t xml:space="preserve">цiї України 03.03.2014р. за № 344/25121.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СК "САТIС" схильне  до страхового ризику, ринкового ризику, кредитного ризику та ризику лiквiдностi, валютного ризику, податкового тощо.</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Вище керiвництво Компанiї контролює процес управлiння даними ризиками.</w:t>
      </w:r>
      <w:r>
        <w:rPr>
          <w:rFonts w:ascii="Times New Roman CYR" w:hAnsi="Times New Roman CYR" w:cs="Times New Roman CYR"/>
          <w:sz w:val="24"/>
          <w:szCs w:val="24"/>
        </w:rPr>
        <w:t xml:space="preserve"> Спецiалiсти з фiнансових ризикiв надають консультацiї вищому керiвництву вiдносно фiнансових ризикiв та вiдповiдної концепцiї управлiння фiнансовими ризиками та допомагають йому бути впевненими в тому, що дiяльнiсть Компанiї, здiйснюється згiдно вiдповiдн</w:t>
      </w:r>
      <w:r>
        <w:rPr>
          <w:rFonts w:ascii="Times New Roman CYR" w:hAnsi="Times New Roman CYR" w:cs="Times New Roman CYR"/>
          <w:sz w:val="24"/>
          <w:szCs w:val="24"/>
        </w:rPr>
        <w:t>ої полiтики Компанiї.  Всi операцiї з фiнансовими iнструментами з метою управлiння ризиками здiйснюються спецiалiстами з вiдповiдною квалiфiкацiєю та досвiдом роботи. Вiдповiдно до своєї полiтики Компанiя не здiйснює торгiвлю фiнансовими iнструментами в сп</w:t>
      </w:r>
      <w:r>
        <w:rPr>
          <w:rFonts w:ascii="Times New Roman CYR" w:hAnsi="Times New Roman CYR" w:cs="Times New Roman CYR"/>
          <w:sz w:val="24"/>
          <w:szCs w:val="24"/>
        </w:rPr>
        <w:t>екулятивних цiлях.</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Правлiння здiйснює аналiз та затверджує полiтику управлiння вказаними ризиками, iнформацiя про яку наводиться нижче.</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Страховий ризик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Визначення страхового ризику посилається на ризик, який страховик приймає вiд власника страхового полiса. Iншими словами, страховий ризик - це ризик, який iснує вiд початку та передається вiд власника страхового полiса страховиковi. Отже, новий ризик, ство</w:t>
      </w:r>
      <w:r>
        <w:rPr>
          <w:rFonts w:ascii="Times New Roman CYR" w:hAnsi="Times New Roman CYR" w:cs="Times New Roman CYR"/>
          <w:sz w:val="24"/>
          <w:szCs w:val="24"/>
        </w:rPr>
        <w:t xml:space="preserve">рений контрактом, не є страховим ризиком.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кращого розумiння сутностi ризикiв Компанiя дослiджує їх класифiкацiю на основi iстотних класифiкацiйних ознак:</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Випадковiсть - невiдомiсть щодо часу i величини збитку, а також незалежнiсть страхового збит</w:t>
      </w:r>
      <w:r>
        <w:rPr>
          <w:rFonts w:ascii="Times New Roman CYR" w:hAnsi="Times New Roman CYR" w:cs="Times New Roman CYR"/>
          <w:sz w:val="24"/>
          <w:szCs w:val="24"/>
        </w:rPr>
        <w:t>ку вiд волi i поведiнки страхувальника.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Можливiсть оцiнки розподiлу збиткiв - можливiсть визначити очiкувану мiру збитку i мiру його вiрогiдностi (без наявностi цiєї iнформацiї неможливо розрахувати величину страхової премiї).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Однозначнiсть розподi</w:t>
      </w:r>
      <w:r>
        <w:rPr>
          <w:rFonts w:ascii="Times New Roman CYR" w:hAnsi="Times New Roman CYR" w:cs="Times New Roman CYR"/>
          <w:sz w:val="24"/>
          <w:szCs w:val="24"/>
        </w:rPr>
        <w:t>лу збиткiв - точнiсть i однозначнiсть визначення в договорi страхування об'єктiв страхування i збиткiв. Ця умова є особливо важливою для визначення страхового вiдшкодування, яке потрiбно сплатити.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Незалежнiсть застрахованих розподiлiв збиткiв один вiд </w:t>
      </w:r>
      <w:r>
        <w:rPr>
          <w:rFonts w:ascii="Times New Roman CYR" w:hAnsi="Times New Roman CYR" w:cs="Times New Roman CYR"/>
          <w:sz w:val="24"/>
          <w:szCs w:val="24"/>
        </w:rPr>
        <w:t>одного - уникнення страховиком при укладаннi договору страхування концентрацiї ризику.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визнає, що дiяльнiсть Товариства пов'язана з ризиками i вартiсть чистих активiв у нестабiльному ринковому середовищi може суттєво змiнитись внасл</w:t>
      </w:r>
      <w:r>
        <w:rPr>
          <w:rFonts w:ascii="Times New Roman CYR" w:hAnsi="Times New Roman CYR" w:cs="Times New Roman CYR"/>
          <w:sz w:val="24"/>
          <w:szCs w:val="24"/>
        </w:rPr>
        <w:t xml:space="preserve">iдок впливу суб'єктивних чинникiв та об'єктивних чинникiв, вiрогiднiсть i напрямок впливу яких заздалегiдь точно передбачити неможливо. До таких ризикiв вiднесено кредитний ризик, ринковий ризик та ризик лiквiдностi. Ринковий ризик включає валютний ризик, </w:t>
      </w:r>
      <w:r>
        <w:rPr>
          <w:rFonts w:ascii="Times New Roman CYR" w:hAnsi="Times New Roman CYR" w:cs="Times New Roman CYR"/>
          <w:sz w:val="24"/>
          <w:szCs w:val="24"/>
        </w:rPr>
        <w:t>вiдсотковий ризик та iнший цiновий ризик. Управлiння ризиками керiвництвом Товариства здiйснюється на основi розумiння причин виникнення ризику, кiлькiсної оцiнки його можливого впливу на вартiсть чистих активiв та застосування iнструментарiю щодо його пом</w:t>
      </w:r>
      <w:r>
        <w:rPr>
          <w:rFonts w:ascii="Times New Roman CYR" w:hAnsi="Times New Roman CYR" w:cs="Times New Roman CYR"/>
          <w:sz w:val="24"/>
          <w:szCs w:val="24"/>
        </w:rPr>
        <w:t>'якшення.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Кредитний ризик - ризик того, що одна сторона контракту про фiнансовий iнструмент не зможе виконати зобов'язання i це буде причиною виникнення фiнансового збитку iншої сторони.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Кредитний ризик притаманний таким фiнансовим iнструментам, як поточ</w:t>
      </w:r>
      <w:r>
        <w:rPr>
          <w:rFonts w:ascii="Times New Roman CYR" w:hAnsi="Times New Roman CYR" w:cs="Times New Roman CYR"/>
          <w:sz w:val="24"/>
          <w:szCs w:val="24"/>
        </w:rPr>
        <w:t>нi та депозитнi рахунки в банках, облiгацiї та дебiторська заборгованiсть.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Основним методом оцiнки кредитних ризикiв керiвництвом Товариства є оцiнка кредитоспроможностi контрагентiв, для чого використовуються кредитнi рейтинги та будь-яка iнша д</w:t>
      </w:r>
      <w:r>
        <w:rPr>
          <w:rFonts w:ascii="Times New Roman CYR" w:hAnsi="Times New Roman CYR" w:cs="Times New Roman CYR"/>
          <w:sz w:val="24"/>
          <w:szCs w:val="24"/>
        </w:rPr>
        <w:t>оступна iнформацiя щодо їх спроможностi виконувати борговi зобов'язання. Товариство використовує наступнi методи управлiння кредитними ризиками: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 лiмiти щодо боргових зобов'язань за класами фiнансових iнструментiв;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oлiмiти щодо боргових зобов'язань перед одним контрагентом (або асоцiйованою групою);</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oлiмiти щодо вкладень у фiнансовi iнструменти в розрiзi кредитних рейтингiв за Нацiональною рейтинговою шкалою;</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oлiмiти щодо розмiщення депозитiв у банках з рiзними рей</w:t>
      </w:r>
      <w:r>
        <w:rPr>
          <w:rFonts w:ascii="Times New Roman CYR" w:hAnsi="Times New Roman CYR" w:cs="Times New Roman CYR"/>
          <w:sz w:val="24"/>
          <w:szCs w:val="24"/>
        </w:rPr>
        <w:t>тингами та випадки дефолту та неповернення депозитiв протягом останнiх п'яти рокiв.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Ринковий ризик - це ризик того, що справедлива вартiсть або майбутнi грошовi потоки вiд фiнансового iнструмента коливатимуться внаслiдок змiн ринкових цiн. Ринковий ризик </w:t>
      </w:r>
      <w:r>
        <w:rPr>
          <w:rFonts w:ascii="Times New Roman CYR" w:hAnsi="Times New Roman CYR" w:cs="Times New Roman CYR"/>
          <w:sz w:val="24"/>
          <w:szCs w:val="24"/>
        </w:rPr>
        <w:t xml:space="preserve">охоплює три типи ризику: iнший цiновий ризик, валютний ризик та вiдсотковий ризик. Ринковий ризик виникає у зв'язку з ризиками збиткiв, зумовлених коливаннями цiн на акцiї, вiдсоткових ставок та валютних курсiв. Товариство наражатиметься на ринковi ризики </w:t>
      </w:r>
      <w:r>
        <w:rPr>
          <w:rFonts w:ascii="Times New Roman CYR" w:hAnsi="Times New Roman CYR" w:cs="Times New Roman CYR"/>
          <w:sz w:val="24"/>
          <w:szCs w:val="24"/>
        </w:rPr>
        <w:t>у зв'язку з iнвестицiями в акцiї, облiгацiї та iншi фiнансовi iнструменти.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Iнший цiновий ризик - це ризик того, що справедлива вартiсть або майбутнi грошовi потоки вiд фiнансового iнструмента коливатимуться внаслiдок змiн ринкових цiн (окрiм тих, що виник</w:t>
      </w:r>
      <w:r>
        <w:rPr>
          <w:rFonts w:ascii="Times New Roman CYR" w:hAnsi="Times New Roman CYR" w:cs="Times New Roman CYR"/>
          <w:sz w:val="24"/>
          <w:szCs w:val="24"/>
        </w:rPr>
        <w:t>ають внаслiдок вiдсоткового ризику чи валютного ризику), незалежно вiд того, чи спричиненi вони чинниками, характерними для окремого фiнансового iнструмента або його емiтента, чи чинниками, що впливають на всi подiбнi фiнансовi iнструменти, з якими здiйсню</w:t>
      </w:r>
      <w:r>
        <w:rPr>
          <w:rFonts w:ascii="Times New Roman CYR" w:hAnsi="Times New Roman CYR" w:cs="Times New Roman CYR"/>
          <w:sz w:val="24"/>
          <w:szCs w:val="24"/>
        </w:rPr>
        <w:t>ються операцiї на ринку.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Основним методом оцiнки цiнового ризику є аналiз чутливостi. Серед методiв пом'якшення цiнового ризику Товариство використовує диверсифiкацiю активiв та дотримання лiмiтiв на вкладення в акцiї та iншi фiнансовi iнструмент</w:t>
      </w:r>
      <w:r>
        <w:rPr>
          <w:rFonts w:ascii="Times New Roman CYR" w:hAnsi="Times New Roman CYR" w:cs="Times New Roman CYR"/>
          <w:sz w:val="24"/>
          <w:szCs w:val="24"/>
        </w:rPr>
        <w:t>и з нефiксованим прибутком.</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 iнвестицiйними активами, оцiненими за 3-м рiвнем iєрархiї (примiтка 6.2), аналiз чутливостi до iншого цiнового ризику Товариство не здiйснювало вiдповiдно до п. 27 МСФЗ 7 "Фiнансовi iнструменти: розкриття iнформацi</w:t>
      </w:r>
      <w:r>
        <w:rPr>
          <w:rFonts w:ascii="Times New Roman CYR" w:hAnsi="Times New Roman CYR" w:cs="Times New Roman CYR"/>
          <w:sz w:val="24"/>
          <w:szCs w:val="24"/>
        </w:rPr>
        <w:t>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Валютний ризик - це ризик того, що справедлива вартiсть або майбутнi грошовi потоки вiд фiнансового iнструменту коливатимуться внаслiдок змiн валютних курсiв.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Оскiльки Товариство не  мало суттєвих активiв в iноземнiй валютi, то активи не бу</w:t>
      </w:r>
      <w:r>
        <w:rPr>
          <w:rFonts w:ascii="Times New Roman CYR" w:hAnsi="Times New Roman CYR" w:cs="Times New Roman CYR"/>
          <w:sz w:val="24"/>
          <w:szCs w:val="24"/>
        </w:rPr>
        <w:t>ли чутливими до валютного ризику i потенцiйнi змiни не вимiрювались.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Вiдсотковий ризик - це ризик того, що справедлива вартiсть або майбутнi грошовi потоки вiд фiнансового iнструмента коливатимуться внаслiдок змiн ринкових вiдсоткових ставок. Керiвництво </w:t>
      </w:r>
      <w:r>
        <w:rPr>
          <w:rFonts w:ascii="Times New Roman CYR" w:hAnsi="Times New Roman CYR" w:cs="Times New Roman CYR"/>
          <w:sz w:val="24"/>
          <w:szCs w:val="24"/>
        </w:rPr>
        <w:t>Товариства усвiдомлює, що вiдсотковi ставки можуть змiнюватись i це впливатиме як на доходи Товариства, так i на справедливу вартiсть чистих активiв.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Усвiдомлюючи значнi ризики, пов'язанi з коливаннями вiдсоткових ставок у високоiнфляцiйному  середовищi, </w:t>
      </w:r>
      <w:r>
        <w:rPr>
          <w:rFonts w:ascii="Times New Roman CYR" w:hAnsi="Times New Roman CYR" w:cs="Times New Roman CYR"/>
          <w:sz w:val="24"/>
          <w:szCs w:val="24"/>
        </w:rPr>
        <w:t>яке є властивим для фiнансової системи України, керiвництво Товариства контролює частку активiв, розмiщених у боргових зобов'язаннях у нацiональнiй валютi з фiксованою вiдсотковою ставкою.</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Активи, якi наражаються на вiдсотковi ризики: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Таб.6.19.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Тип активу</w:t>
      </w:r>
      <w:r>
        <w:rPr>
          <w:rFonts w:ascii="Times New Roman CYR" w:hAnsi="Times New Roman CYR" w:cs="Times New Roman CYR"/>
          <w:sz w:val="24"/>
          <w:szCs w:val="24"/>
        </w:rPr>
        <w:tab/>
        <w:t>1 кв. 2022</w:t>
      </w:r>
      <w:r>
        <w:rPr>
          <w:rFonts w:ascii="Times New Roman CYR" w:hAnsi="Times New Roman CYR" w:cs="Times New Roman CYR"/>
          <w:sz w:val="24"/>
          <w:szCs w:val="24"/>
        </w:rPr>
        <w:tab/>
        <w:t>1 кв. 2023</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Банкiвськi депозити</w:t>
      </w:r>
      <w:r>
        <w:rPr>
          <w:rFonts w:ascii="Times New Roman CYR" w:hAnsi="Times New Roman CYR" w:cs="Times New Roman CYR"/>
          <w:sz w:val="24"/>
          <w:szCs w:val="24"/>
        </w:rPr>
        <w:tab/>
        <w:t>4067,00</w:t>
      </w:r>
      <w:r>
        <w:rPr>
          <w:rFonts w:ascii="Times New Roman CYR" w:hAnsi="Times New Roman CYR" w:cs="Times New Roman CYR"/>
          <w:sz w:val="24"/>
          <w:szCs w:val="24"/>
        </w:rPr>
        <w:tab/>
        <w:t>4067,00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r>
        <w:rPr>
          <w:rFonts w:ascii="Times New Roman CYR" w:hAnsi="Times New Roman CYR" w:cs="Times New Roman CYR"/>
          <w:sz w:val="24"/>
          <w:szCs w:val="24"/>
        </w:rPr>
        <w:tab/>
        <w:t>4067,0</w:t>
      </w:r>
      <w:r>
        <w:rPr>
          <w:rFonts w:ascii="Times New Roman CYR" w:hAnsi="Times New Roman CYR" w:cs="Times New Roman CYR"/>
          <w:sz w:val="24"/>
          <w:szCs w:val="24"/>
        </w:rPr>
        <w:tab/>
        <w:t>4067,0</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оцiнки можливих коливань вiдсоткових ставок Товариство використовувало iсторичну волатильнiсть вiдсоткових ставок за строковими депозита</w:t>
      </w:r>
      <w:r>
        <w:rPr>
          <w:rFonts w:ascii="Times New Roman CYR" w:hAnsi="Times New Roman CYR" w:cs="Times New Roman CYR"/>
          <w:sz w:val="24"/>
          <w:szCs w:val="24"/>
        </w:rPr>
        <w:t>ми (до 1 року) за останнi 2 роки за оприлюдненою iнформацiєю НБУ.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визнає, що обгрунтовано можливим є коливання ринкових ставок на +3,0 процентних пункти. Проведений аналiз чутливостi заснований на припущеннi, що всi iншi параметри, зокрема валю</w:t>
      </w:r>
      <w:r>
        <w:rPr>
          <w:rFonts w:ascii="Times New Roman CYR" w:hAnsi="Times New Roman CYR" w:cs="Times New Roman CYR"/>
          <w:sz w:val="24"/>
          <w:szCs w:val="24"/>
        </w:rPr>
        <w:t>тний курс, залишатимуться незмiнними, i показує можливий вплив змiни вiдсоткових ставок на 3,0 процентних пункти на вартiсть чистих активiв Товариства.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Можлива змiна справедливої вартостi боргових фiнансових iнструментiв з фiксованою вiдсотковою ставкою р</w:t>
      </w:r>
      <w:r>
        <w:rPr>
          <w:rFonts w:ascii="Times New Roman CYR" w:hAnsi="Times New Roman CYR" w:cs="Times New Roman CYR"/>
          <w:sz w:val="24"/>
          <w:szCs w:val="24"/>
        </w:rPr>
        <w:t>озрахована як рiзниця мiж дисконтованими грошовими потоками за дiючою ставкою та дисконтованими грошовими потоками у разi змiни вiдсоткової ставки за кожним фiнансовим iнструментом.</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Вiдсотковi ризики: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Таб.6.19.1. (тис. 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Тип активу</w:t>
      </w:r>
      <w:r>
        <w:rPr>
          <w:rFonts w:ascii="Times New Roman CYR" w:hAnsi="Times New Roman CYR" w:cs="Times New Roman CYR"/>
          <w:sz w:val="24"/>
          <w:szCs w:val="24"/>
        </w:rPr>
        <w:tab/>
        <w:t>Вартiсть</w:t>
      </w:r>
      <w:r>
        <w:rPr>
          <w:rFonts w:ascii="Times New Roman CYR" w:hAnsi="Times New Roman CYR" w:cs="Times New Roman CYR"/>
          <w:sz w:val="24"/>
          <w:szCs w:val="24"/>
        </w:rPr>
        <w:tab/>
        <w:t>Середньо</w:t>
      </w:r>
      <w:r>
        <w:rPr>
          <w:rFonts w:ascii="Times New Roman CYR" w:hAnsi="Times New Roman CYR" w:cs="Times New Roman CYR"/>
          <w:sz w:val="24"/>
          <w:szCs w:val="24"/>
        </w:rPr>
        <w:t>зважена ставка</w:t>
      </w:r>
      <w:r>
        <w:rPr>
          <w:rFonts w:ascii="Times New Roman CYR" w:hAnsi="Times New Roman CYR" w:cs="Times New Roman CYR"/>
          <w:sz w:val="24"/>
          <w:szCs w:val="24"/>
        </w:rPr>
        <w:tab/>
        <w:t>Потенцiйний вплив на чистi активи Товариства в разi змiни вiдсоткової ставки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31.03..2022 р.</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Можливi коливання ринкових ставок                                         -3,0% пункти     + 3,0% пункти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Банкiвськi депозити</w:t>
      </w:r>
      <w:r>
        <w:rPr>
          <w:rFonts w:ascii="Times New Roman CYR" w:hAnsi="Times New Roman CYR" w:cs="Times New Roman CYR"/>
          <w:sz w:val="24"/>
          <w:szCs w:val="24"/>
        </w:rPr>
        <w:tab/>
        <w:t>4067,0</w:t>
      </w:r>
      <w:r>
        <w:rPr>
          <w:rFonts w:ascii="Times New Roman CYR" w:hAnsi="Times New Roman CYR" w:cs="Times New Roman CYR"/>
          <w:sz w:val="24"/>
          <w:szCs w:val="24"/>
        </w:rPr>
        <w:tab/>
        <w:t>7,5%</w:t>
      </w:r>
      <w:r>
        <w:rPr>
          <w:rFonts w:ascii="Times New Roman CYR" w:hAnsi="Times New Roman CYR" w:cs="Times New Roman CYR"/>
          <w:sz w:val="24"/>
          <w:szCs w:val="24"/>
        </w:rPr>
        <w:tab/>
        <w:t>-120,2</w:t>
      </w:r>
      <w:r>
        <w:rPr>
          <w:rFonts w:ascii="Times New Roman CYR" w:hAnsi="Times New Roman CYR" w:cs="Times New Roman CYR"/>
          <w:sz w:val="24"/>
          <w:szCs w:val="24"/>
        </w:rPr>
        <w:tab/>
        <w:t>+120,2</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Разом </w:t>
      </w:r>
      <w:r>
        <w:rPr>
          <w:rFonts w:ascii="Times New Roman CYR" w:hAnsi="Times New Roman CYR" w:cs="Times New Roman CYR"/>
          <w:sz w:val="24"/>
          <w:szCs w:val="24"/>
        </w:rPr>
        <w:tab/>
        <w:t>4067,0</w:t>
      </w:r>
      <w:r>
        <w:rPr>
          <w:rFonts w:ascii="Times New Roman CYR" w:hAnsi="Times New Roman CYR" w:cs="Times New Roman CYR"/>
          <w:sz w:val="24"/>
          <w:szCs w:val="24"/>
        </w:rPr>
        <w:tab/>
      </w:r>
      <w:r>
        <w:rPr>
          <w:rFonts w:ascii="Times New Roman CYR" w:hAnsi="Times New Roman CYR" w:cs="Times New Roman CYR"/>
          <w:sz w:val="24"/>
          <w:szCs w:val="24"/>
        </w:rPr>
        <w:tab/>
        <w:t>-120,2</w:t>
      </w:r>
      <w:r>
        <w:rPr>
          <w:rFonts w:ascii="Times New Roman CYR" w:hAnsi="Times New Roman CYR" w:cs="Times New Roman CYR"/>
          <w:sz w:val="24"/>
          <w:szCs w:val="24"/>
        </w:rPr>
        <w:tab/>
        <w:t>+120,2</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31.12.2022 р.</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Можливi коливання ринкових ставок                                         -3,% пункти     + 3,% пункти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Банкiвськi депозити</w:t>
      </w:r>
      <w:r>
        <w:rPr>
          <w:rFonts w:ascii="Times New Roman CYR" w:hAnsi="Times New Roman CYR" w:cs="Times New Roman CYR"/>
          <w:sz w:val="24"/>
          <w:szCs w:val="24"/>
        </w:rPr>
        <w:tab/>
        <w:t>4067,0</w:t>
      </w:r>
      <w:r>
        <w:rPr>
          <w:rFonts w:ascii="Times New Roman CYR" w:hAnsi="Times New Roman CYR" w:cs="Times New Roman CYR"/>
          <w:sz w:val="24"/>
          <w:szCs w:val="24"/>
        </w:rPr>
        <w:tab/>
        <w:t>12%</w:t>
      </w:r>
      <w:r>
        <w:rPr>
          <w:rFonts w:ascii="Times New Roman CYR" w:hAnsi="Times New Roman CYR" w:cs="Times New Roman CYR"/>
          <w:sz w:val="24"/>
          <w:szCs w:val="24"/>
        </w:rPr>
        <w:tab/>
        <w:t>-120,2</w:t>
      </w:r>
      <w:r>
        <w:rPr>
          <w:rFonts w:ascii="Times New Roman CYR" w:hAnsi="Times New Roman CYR" w:cs="Times New Roman CYR"/>
          <w:sz w:val="24"/>
          <w:szCs w:val="24"/>
        </w:rPr>
        <w:tab/>
        <w:t>+120,2</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Разом </w:t>
      </w:r>
      <w:r>
        <w:rPr>
          <w:rFonts w:ascii="Times New Roman CYR" w:hAnsi="Times New Roman CYR" w:cs="Times New Roman CYR"/>
          <w:sz w:val="24"/>
          <w:szCs w:val="24"/>
        </w:rPr>
        <w:tab/>
        <w:t>4067,0</w:t>
      </w:r>
      <w:r>
        <w:rPr>
          <w:rFonts w:ascii="Times New Roman CYR" w:hAnsi="Times New Roman CYR" w:cs="Times New Roman CYR"/>
          <w:sz w:val="24"/>
          <w:szCs w:val="24"/>
        </w:rPr>
        <w:tab/>
      </w:r>
      <w:r>
        <w:rPr>
          <w:rFonts w:ascii="Times New Roman CYR" w:hAnsi="Times New Roman CYR" w:cs="Times New Roman CYR"/>
          <w:sz w:val="24"/>
          <w:szCs w:val="24"/>
        </w:rPr>
        <w:tab/>
        <w:t>-120,2</w:t>
      </w:r>
      <w:r>
        <w:rPr>
          <w:rFonts w:ascii="Times New Roman CYR" w:hAnsi="Times New Roman CYR" w:cs="Times New Roman CYR"/>
          <w:sz w:val="24"/>
          <w:szCs w:val="24"/>
        </w:rPr>
        <w:tab/>
        <w:t>+120,2</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Ризик лiквiдностi - ризик того, що Товариство матиме труднощi при виконаннi зобов'язань, пов'язаних iз фiнансовими зобов'язаннями, що погашаються шляхом поставки грошових коштiв або iншого фiнансового активу.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здiйснює контроль лiквiдностi шлях</w:t>
      </w:r>
      <w:r>
        <w:rPr>
          <w:rFonts w:ascii="Times New Roman CYR" w:hAnsi="Times New Roman CYR" w:cs="Times New Roman CYR"/>
          <w:sz w:val="24"/>
          <w:szCs w:val="24"/>
        </w:rPr>
        <w:t xml:space="preserve">ом планування поточної лiквiдностi. Товариство аналiзує термiни платежiв, якi пов'язанi з дебiторською заборгованiстю та iншими фiнансовими активами, а також прогнознi потоки грошових коштiв вiд операцiйної дiяльностi.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Контроль за лiквiднiстю здiйснюєтьс</w:t>
      </w:r>
      <w:r>
        <w:rPr>
          <w:rFonts w:ascii="Times New Roman CYR" w:hAnsi="Times New Roman CYR" w:cs="Times New Roman CYR"/>
          <w:sz w:val="24"/>
          <w:szCs w:val="24"/>
        </w:rPr>
        <w:t>я також за допомогою виконання нормативних вимог Нацiональної комiсiї, що здiйснює державне регулювання в сферi ринкiв фiнансових послуг.</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6.20. Управлiння капiталом.</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Страхова компанiя здiйснює управлiння капiталом з метою досягнення наступних цiлей:</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зберегти спроможнiсть Товариства продовжувати свою дiяльнiсть так, щоб воно i надалi забезпечувало дохiд для учасникiв Товариства та виплати iншим зацiкавленим сторонам;</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забезпечити належний прибуток учасникам товариства завдяки встановленню цiн на посл</w:t>
      </w:r>
      <w:r>
        <w:rPr>
          <w:rFonts w:ascii="Times New Roman CYR" w:hAnsi="Times New Roman CYR" w:cs="Times New Roman CYR"/>
          <w:sz w:val="24"/>
          <w:szCs w:val="24"/>
        </w:rPr>
        <w:t>уги Товариства, що вiдповiдають рiвню ризику.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здiйснює огляд структури капiталу на щорiчнiй основi. При цьому керiвництво аналiзує вартiсть капiталу та притаманнi його складовим ризики. На основi отриманих висно</w:t>
      </w:r>
      <w:r>
        <w:rPr>
          <w:rFonts w:ascii="Times New Roman CYR" w:hAnsi="Times New Roman CYR" w:cs="Times New Roman CYR"/>
          <w:sz w:val="24"/>
          <w:szCs w:val="24"/>
        </w:rPr>
        <w:t xml:space="preserve">вкiв Товариство здiйснює регулювання капiталу шляхом залучення додаткового капiталу або фiнансування, а також шляхом  виплати дивiдендiв.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метою вiдповiдностi вимогам законодавства в частинi розмiщення власних засобiв у Товариства iснує iнвестицiйна пол</w:t>
      </w:r>
      <w:r>
        <w:rPr>
          <w:rFonts w:ascii="Times New Roman CYR" w:hAnsi="Times New Roman CYR" w:cs="Times New Roman CYR"/>
          <w:sz w:val="24"/>
          <w:szCs w:val="24"/>
        </w:rPr>
        <w:t>iтика, що накладає певнi обмеження на структуру iнвестицiйних активiв. Компанiя проводить постiйний монiторинг достатностi капiталу для вiдповiдностi вимогам до мiнiмального розмiру статутного капiталу й нормативного запасу платоспроможностi.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31</w:t>
      </w:r>
      <w:r>
        <w:rPr>
          <w:rFonts w:ascii="Times New Roman CYR" w:hAnsi="Times New Roman CYR" w:cs="Times New Roman CYR"/>
          <w:sz w:val="24"/>
          <w:szCs w:val="24"/>
        </w:rPr>
        <w:t xml:space="preserve"> березня 2023року  розмiр власного капiталу Товариства дорiвнює 46 926,0 тис.грн.. Чистi активи  компанiї перевищують розмiр статутного капiталу,  що вiдповiдає нормативним вимогам для ризикових страхових компанiй.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6.21. Операцiйнi  ризики  та   полiти</w:t>
      </w:r>
      <w:r>
        <w:rPr>
          <w:rFonts w:ascii="Times New Roman CYR" w:hAnsi="Times New Roman CYR" w:cs="Times New Roman CYR"/>
          <w:sz w:val="24"/>
          <w:szCs w:val="24"/>
        </w:rPr>
        <w:t>чна  ситуацiя в Українi.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Хоча в економiчнiй ситуацiї України помiтнi тенденцiї до покращення, економiчна перспектива України в багатьох випадках залежить вiд ефективностi економiчних заходiв, фiнансових механiзмiв i монетарної полiтики, якi застосовує у</w:t>
      </w:r>
      <w:r>
        <w:rPr>
          <w:rFonts w:ascii="Times New Roman CYR" w:hAnsi="Times New Roman CYR" w:cs="Times New Roman CYR"/>
          <w:sz w:val="24"/>
          <w:szCs w:val="24"/>
        </w:rPr>
        <w:t>ряд, а також розвиток фiскальної, правової i полiтичної системи.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Українське податкове, валютне i митне законодавство досить часто мiняється i має суперечливе трактування. Нещодавнi подiї, якi вiдбулись в Українi показали, що податковi органи можуть зайнят</w:t>
      </w:r>
      <w:r>
        <w:rPr>
          <w:rFonts w:ascii="Times New Roman CYR" w:hAnsi="Times New Roman CYR" w:cs="Times New Roman CYR"/>
          <w:sz w:val="24"/>
          <w:szCs w:val="24"/>
        </w:rPr>
        <w:t xml:space="preserve">и бiльш жорстку позицiю при трактуваннi законодавства i перевiрцi податкових розрахункiв, i як наслiдок можуть бути донарахованi податки, пенi, штрафи.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думку керiвництва Компанiї, станом на 3103.2023р., вiдповiднi положення законодавства  iнтерпретова</w:t>
      </w:r>
      <w:r>
        <w:rPr>
          <w:rFonts w:ascii="Times New Roman CYR" w:hAnsi="Times New Roman CYR" w:cs="Times New Roman CYR"/>
          <w:sz w:val="24"/>
          <w:szCs w:val="24"/>
        </w:rPr>
        <w:t>нi ним  коректо, тому  ймовiрнiсть збереження фiнансового стану, в якому знаходиться Товариство у зв'язку з податковим, валютним i митним законодавством є досить високою. У випадках, коли на думку керiвництва Компанiї iснують значнi сумнiви у збереженi заз</w:t>
      </w:r>
      <w:r>
        <w:rPr>
          <w:rFonts w:ascii="Times New Roman CYR" w:hAnsi="Times New Roman CYR" w:cs="Times New Roman CYR"/>
          <w:sz w:val="24"/>
          <w:szCs w:val="24"/>
        </w:rPr>
        <w:t>наченого стану Компанiї, у фiнансовiй звiтностi визнаються вiдповiднi зобов'язання.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Стабiлiзацiя економiки України у досяжному майбутньому залежить вiд успiшностi заходiв, якi проводить уряд, та забезпечення тривалої фiнансової пiдтримки України з боку мi</w:t>
      </w:r>
      <w:r>
        <w:rPr>
          <w:rFonts w:ascii="Times New Roman CYR" w:hAnsi="Times New Roman CYR" w:cs="Times New Roman CYR"/>
          <w:sz w:val="24"/>
          <w:szCs w:val="24"/>
        </w:rPr>
        <w:t>жнародних донорiв та мiжнародних фiнансових установ.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стежить за розвитком поточної ситуацiї та, за необхiдностi i наскiльки це можливо, вживає заходiв для мiнiмiзацiї будь-яких негативних наслiдкiв. Подальше погiршення полiтичних, макроекономi</w:t>
      </w:r>
      <w:r>
        <w:rPr>
          <w:rFonts w:ascii="Times New Roman CYR" w:hAnsi="Times New Roman CYR" w:cs="Times New Roman CYR"/>
          <w:sz w:val="24"/>
          <w:szCs w:val="24"/>
        </w:rPr>
        <w:t>чних та/або зовнiшньоторговельних умов може i надалi негативним чином впливати на фiнансовий стан та результати дiяльностi Компанiї у такий спосiб, що наразi не може бути визначений.</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6.22. Очiкуваний вплив спалаху коронавiрусу COVID-19 та воєнного стану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початку 2020 року спалах коронавiрусу COVID-19 розповсюдився по всьому свiту, вплинувши на свiтову економiку та фiнансовi ринки. Внаслiдок невизначеностi i тривалостi подiй, пов'язаних зi сполохом коронавiрусу COVID-19, Товариство не має практичної можли</w:t>
      </w:r>
      <w:r>
        <w:rPr>
          <w:rFonts w:ascii="Times New Roman CYR" w:hAnsi="Times New Roman CYR" w:cs="Times New Roman CYR"/>
          <w:sz w:val="24"/>
          <w:szCs w:val="24"/>
        </w:rPr>
        <w:t xml:space="preserve">востi точно та надiйно оцiнити кiлькiсний вплив зазначених подiй на фiнансовий стан i фiнансовi результати дiяльностi в 2022 роцi.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24 лютого 2022 року здiйснено вiйськовий  напад Росiї на територiю України. Ми звертаємо увагу на питання введення воєнно</w:t>
      </w:r>
      <w:r>
        <w:rPr>
          <w:rFonts w:ascii="Times New Roman CYR" w:hAnsi="Times New Roman CYR" w:cs="Times New Roman CYR"/>
          <w:sz w:val="24"/>
          <w:szCs w:val="24"/>
        </w:rPr>
        <w:t>го стану в Українi з 24.02.2022р. на пiдставi Указа президента України "Про введення воєнного стану в Українi"  №64/2022 вiд 24.02.2022р.) Наслiдки збройного конфлiкту, який вiдбувається в Українi, вiдчуваються у рiзноманiтних сферах життєдiяльностi та фун</w:t>
      </w:r>
      <w:r>
        <w:rPr>
          <w:rFonts w:ascii="Times New Roman CYR" w:hAnsi="Times New Roman CYR" w:cs="Times New Roman CYR"/>
          <w:sz w:val="24"/>
          <w:szCs w:val="24"/>
        </w:rPr>
        <w:t>кцiонування пiдприємств, суспiльства i держави в цiлому. Проведення бойових дiй в України якi тривають i на час надання цiєї фiнансової звiтностi призводить до суттєвого погiршення загального економiчного стану та поглиблення  кризи. Полiпшення економiчної</w:t>
      </w:r>
      <w:r>
        <w:rPr>
          <w:rFonts w:ascii="Times New Roman CYR" w:hAnsi="Times New Roman CYR" w:cs="Times New Roman CYR"/>
          <w:sz w:val="24"/>
          <w:szCs w:val="24"/>
        </w:rPr>
        <w:t xml:space="preserve"> ситуацiї в країнi залежить в першу чергу вiд  тривалостi вiйськової агресiї Росiйської Федерацiї проти України, а також  сукупностi економiчних, фiскальних та правових заходiв, якi будуть впровадженi на протязi всього воєнного перiоду та пiсля нього. Тому</w:t>
      </w:r>
      <w:r>
        <w:rPr>
          <w:rFonts w:ascii="Times New Roman CYR" w:hAnsi="Times New Roman CYR" w:cs="Times New Roman CYR"/>
          <w:sz w:val="24"/>
          <w:szCs w:val="24"/>
        </w:rPr>
        <w:t>, на даний момент, у зв'язку з невизначенiстю перелiку та термiнiв впровадження таких заходiв, неможливо достовiрно оцiнити ефект впливу поточної економiчної ситуацiї в країнi на майбутню дiяльнiсть компанiї.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6.23. Операцiї з пов'язаними сторонами.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Вiдповiдно до засад, визначених МСБО 24 "Розкриття iнформацiї про пов'язанi сторони" зв'язана сторона - це фiзична або юридична особа, пов'язанi з суб'єктом господарювання, що складає свою фiнансову звiтнiсть. Сторони зазвичай вважаються пов'язаними, якщо </w:t>
      </w:r>
      <w:r>
        <w:rPr>
          <w:rFonts w:ascii="Times New Roman CYR" w:hAnsi="Times New Roman CYR" w:cs="Times New Roman CYR"/>
          <w:sz w:val="24"/>
          <w:szCs w:val="24"/>
        </w:rPr>
        <w:t>вони знаходяться пiд спiльним контролем або якщо одна сторона має можливiсть контролювати iншу або може мати значний вплив на iншу сторону при прийняттi фiнансових чи операцiйних рiшень. Пов'язаними особами для Товариства: є особи, якi мають суттєвий вплив</w:t>
      </w:r>
      <w:r>
        <w:rPr>
          <w:rFonts w:ascii="Times New Roman CYR" w:hAnsi="Times New Roman CYR" w:cs="Times New Roman CYR"/>
          <w:sz w:val="24"/>
          <w:szCs w:val="24"/>
        </w:rPr>
        <w:t xml:space="preserve"> на Товариство, зокрема фiзична особа або близький родич такої особи є пов'язаною стороною iз Товариство, якщо така особа: контролює Товариство, або здiйснює спiльний контроль над ним; має суттєвий вплив на Товариство; є членом провiдного управлiнського пе</w:t>
      </w:r>
      <w:r>
        <w:rPr>
          <w:rFonts w:ascii="Times New Roman CYR" w:hAnsi="Times New Roman CYR" w:cs="Times New Roman CYR"/>
          <w:sz w:val="24"/>
          <w:szCs w:val="24"/>
        </w:rPr>
        <w:t>рсоналу Товариства, або материнського пiдприємства. Суб'єкт господарювання є пов'язаним iз Товариством, якщо виконується будь-яка з таких умов: суб'єкт господарювання та Товариство, є членами однiєї групи (а це означає, що кожне материнське пiдприємство, д</w:t>
      </w:r>
      <w:r>
        <w:rPr>
          <w:rFonts w:ascii="Times New Roman CYR" w:hAnsi="Times New Roman CYR" w:cs="Times New Roman CYR"/>
          <w:sz w:val="24"/>
          <w:szCs w:val="24"/>
        </w:rPr>
        <w:t>очiрнє пiдприємство або дочiрнє пiдприємство пiд спiльним контролем є пов'язанi одне з одним); один суб'єкт господарювання є асоцiйованим пiдприємством або спiльним пiдприємством iншого суб'єкта господарювання (чи асоцiйованим пiдприємством або спiльним пi</w:t>
      </w:r>
      <w:r>
        <w:rPr>
          <w:rFonts w:ascii="Times New Roman CYR" w:hAnsi="Times New Roman CYR" w:cs="Times New Roman CYR"/>
          <w:sz w:val="24"/>
          <w:szCs w:val="24"/>
        </w:rPr>
        <w:t>дприємством члена групи, до якої належить iнший суб'єкт господарювання); обидва суб'єкти господарювання є спiльними пiдприємствами однiєї третьої сторони; один суб'єкт господарювання є спiльним пiдприємством третього суб'єкта господарювання, а iнший суб'єк</w:t>
      </w:r>
      <w:r>
        <w:rPr>
          <w:rFonts w:ascii="Times New Roman CYR" w:hAnsi="Times New Roman CYR" w:cs="Times New Roman CYR"/>
          <w:sz w:val="24"/>
          <w:szCs w:val="24"/>
        </w:rPr>
        <w:t xml:space="preserve">т господарювання є асоцiйованим пiдприємством цього третього суб'єкта господарювання;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Операцiя зi пов'язаною стороною - передача ресурсiв, послуг або зобов'язань мiж суб'єктом господарювання, що звiтує (розкриває iнформацiю), та пов'язаною стороною, неза</w:t>
      </w:r>
      <w:r>
        <w:rPr>
          <w:rFonts w:ascii="Times New Roman CYR" w:hAnsi="Times New Roman CYR" w:cs="Times New Roman CYR"/>
          <w:sz w:val="24"/>
          <w:szCs w:val="24"/>
        </w:rPr>
        <w:t>лежно вiд того, чи призначається цiна.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Оцiнка можливої наявностi проведення операцiй з пов'язаними сторонами проводиться Товариством  в кожному фiнансовому роцi за допомогою аналiзу балансу вiдповiдної пов'язаної сторони та стану ринку, на якому така ст</w:t>
      </w:r>
      <w:r>
        <w:rPr>
          <w:rFonts w:ascii="Times New Roman CYR" w:hAnsi="Times New Roman CYR" w:cs="Times New Roman CYR"/>
          <w:sz w:val="24"/>
          <w:szCs w:val="24"/>
        </w:rPr>
        <w:t xml:space="preserve">орона веде дiяльнiсть.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Пов'язаними особами для Товариства: є акцiонери емiтента; особи, частка яких становить понад  20% у статутному капiталi Товариства; посадовi особи Товариства та члени їхнiх сiмей; особи, що дiють вiд iменi Товариства за вiдповiдн</w:t>
      </w:r>
      <w:r>
        <w:rPr>
          <w:rFonts w:ascii="Times New Roman CYR" w:hAnsi="Times New Roman CYR" w:cs="Times New Roman CYR"/>
          <w:sz w:val="24"/>
          <w:szCs w:val="24"/>
        </w:rPr>
        <w:t>им дорученням, або особи, вiд iменi яких дiє Товариство; особи, якi вiдповiдно до законодавства України  контролюють дiяльнiсть Товариства; юридичнi особи, що контролюються Товариством або разом з ним перебувають пiд</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контролем третьої особи;  його керiвни</w:t>
      </w:r>
      <w:r>
        <w:rPr>
          <w:rFonts w:ascii="Times New Roman CYR" w:hAnsi="Times New Roman CYR" w:cs="Times New Roman CYR"/>
          <w:sz w:val="24"/>
          <w:szCs w:val="24"/>
        </w:rPr>
        <w:t>ки та посадовi особи.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Сторони, як правило, вважаються пов'язаними, якщо вони перебувають пiд загальним контролем, або одна зi сторiн має можливiсть контролювати iншу або може справити значний вплив на iншу сторону при прийняттi фiнансових та операцiйних </w:t>
      </w:r>
      <w:r>
        <w:rPr>
          <w:rFonts w:ascii="Times New Roman CYR" w:hAnsi="Times New Roman CYR" w:cs="Times New Roman CYR"/>
          <w:sz w:val="24"/>
          <w:szCs w:val="24"/>
        </w:rPr>
        <w:t xml:space="preserve">рiшень. При розглядi кожної можливої пов'язаної сторони, особлива увага придiляється змiсту вiдносин, а не тiльки їх юридичнiй формi.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"Страхова компанiя "САТIС" протягом звiтного перiоду спiвпрацювало з пов'язаними особами  Яхниця Олександер Iгореви</w:t>
      </w:r>
      <w:r>
        <w:rPr>
          <w:rFonts w:ascii="Times New Roman CYR" w:hAnsi="Times New Roman CYR" w:cs="Times New Roman CYR"/>
          <w:sz w:val="24"/>
          <w:szCs w:val="24"/>
        </w:rPr>
        <w:t xml:space="preserve">ч, Яхниця Олена Iгорiвна. Товариству були наданi послуги з оренди примiщень,  оренди автомобiля, та  протягом року виплачувались агентськi винагороди пов'язаним особам. Яхницi Iгорю Олександровичу виплачувалась заробiтна плата , як Генеральному  Директору </w:t>
      </w:r>
      <w:r>
        <w:rPr>
          <w:rFonts w:ascii="Times New Roman CYR" w:hAnsi="Times New Roman CYR" w:cs="Times New Roman CYR"/>
          <w:sz w:val="24"/>
          <w:szCs w:val="24"/>
        </w:rPr>
        <w:t>ПрАТ "Страхової компанiї " САТIС". Розрахунки велися в межах звичайної господарської дiяльностi.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Суми винагород пов'язаним сторонам за   1 квартал 2023 рiк складає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по заробiтнiй платi - 55,0 тис.грн.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договором оренди примiщення - 320,0 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договорами оренди автотранспорту - 14,0 тис.грн.;</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6.24. Здатнiсть товариства продовжувати дiяльнiсть на безперервнiй основi.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звiтну дату Компанiя  вiдповiдає  вимогам, якi встано</w:t>
      </w:r>
      <w:r>
        <w:rPr>
          <w:rFonts w:ascii="Times New Roman CYR" w:hAnsi="Times New Roman CYR" w:cs="Times New Roman CYR"/>
          <w:sz w:val="24"/>
          <w:szCs w:val="24"/>
        </w:rPr>
        <w:t xml:space="preserve">вленi законодавством й регулюючими органами в областi страхування вiдносно запасу платоспроможностi, розмiщення страхових резервiв i iнших нормативiв.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Цi показники пiдтверджують здатнiсть товариства продовжувати дiяльнiсть на безперервнiй основi.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6.25.  Подiї пiсля дати балансу.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24 лютого 2022 року, у зв'язку з вiйськовою агресiєю Росiйської Федерацiї проти України, Указом Президента України введено воєнний стан в Українi, якiй дiє до дати затвердження звiтностi.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Зазначенi вище подiї</w:t>
      </w:r>
      <w:r>
        <w:rPr>
          <w:rFonts w:ascii="Times New Roman CYR" w:hAnsi="Times New Roman CYR" w:cs="Times New Roman CYR"/>
          <w:sz w:val="24"/>
          <w:szCs w:val="24"/>
        </w:rPr>
        <w:t xml:space="preserve">  є такими, що мають суттєвий вплив на дiяльнiсть i розвиток Товариства, та можуть спричинити невизначеностi щодо безперервної дiяльностi Товариства.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Економiчнi наслiдки вiйськової агресiї Росiйської Федерацiї проти України не можуть не вплинути на дiяльн</w:t>
      </w:r>
      <w:r>
        <w:rPr>
          <w:rFonts w:ascii="Times New Roman CYR" w:hAnsi="Times New Roman CYR" w:cs="Times New Roman CYR"/>
          <w:sz w:val="24"/>
          <w:szCs w:val="24"/>
        </w:rPr>
        <w:t>iсть Товариства. Керiвництво здiйснює економiчну оцiнку такого впливу на подальшу дiяльнiсть Товариства та вiдповiдно корегує плани та здiйснює невiдкладнi кроки, направленi на пiдтримку життєдiяльностi Компанiї та забезпечення стабiльного обслуговування к</w:t>
      </w:r>
      <w:r>
        <w:rPr>
          <w:rFonts w:ascii="Times New Roman CYR" w:hAnsi="Times New Roman CYR" w:cs="Times New Roman CYR"/>
          <w:sz w:val="24"/>
          <w:szCs w:val="24"/>
        </w:rPr>
        <w:t>лiєнтiв та гарантованостi виплат страхових вiдшкодувань.   Враховуючи досвiд роботи Товариства впродовж року в умовах воєнного стану, керiвництво вважає, що Компанiя зможе  продовжувати дiяльнiсть i в майбутньому за виключенням розвитку катастрофiчних подi</w:t>
      </w:r>
      <w:r>
        <w:rPr>
          <w:rFonts w:ascii="Times New Roman CYR" w:hAnsi="Times New Roman CYR" w:cs="Times New Roman CYR"/>
          <w:sz w:val="24"/>
          <w:szCs w:val="24"/>
        </w:rPr>
        <w:t>й (окупацiї значних територiй, застосування зброї масового ураження). Товариство в умовах воєнного стану та вiйськових дiй продовжує роботу, забезпечує приймання звернень застрахованих осiб 24/7, здiйснює врегулювання страхових випадкiв та виплату страхови</w:t>
      </w:r>
      <w:r>
        <w:rPr>
          <w:rFonts w:ascii="Times New Roman CYR" w:hAnsi="Times New Roman CYR" w:cs="Times New Roman CYR"/>
          <w:sz w:val="24"/>
          <w:szCs w:val="24"/>
        </w:rPr>
        <w:t xml:space="preserve">х вiдшкодувань по всiй пiдконтрольнiй територiї  України, крiм зон активних бойових дiй.  Спiвробiтники компанiї працюють як в режимi дистанцiйного доступу, так i на своїх робочих мiсцях в офiсах Товариства, в залежностi вiд свого фiзичного перебування.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Вiйна з Росiєю та шкода, яка завдається Українi щодня, є значним фактором невизначеностi. Станом на дату затвердження цiєї фiнансової звiтностi керiвництво Компанiї не має можливостi у повному обсязi оцiнити остаточний вплив цього вторгнення в Україну на </w:t>
      </w:r>
      <w:r>
        <w:rPr>
          <w:rFonts w:ascii="Times New Roman CYR" w:hAnsi="Times New Roman CYR" w:cs="Times New Roman CYR"/>
          <w:sz w:val="24"/>
          <w:szCs w:val="24"/>
        </w:rPr>
        <w:t>спiвробiтникiв, фiнансовий стан та результати дiяльностi Компанiї. Компанiя також не може прогнозувати тривалiсть вiйни, можливiсть посилення її iнтенсивностi або вплив мiграцiї на свою дiяльнiсть.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наразi здiйснює фiнансово-господарську дiяль</w:t>
      </w:r>
      <w:r>
        <w:rPr>
          <w:rFonts w:ascii="Times New Roman CYR" w:hAnsi="Times New Roman CYR" w:cs="Times New Roman CYR"/>
          <w:sz w:val="24"/>
          <w:szCs w:val="24"/>
        </w:rPr>
        <w:t>нiсть вiдповiдно до принципiв безперервностi дiяльностi та має впевненiсть в продовженi такої дiяльностi  i в майбутньому.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СК "САТIС" оцiнила в перiод з 31.03.2022 року та до дати затвердження Керiвником звiтностi про iснування наступних подiй:</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подiї, якi свiдчать про умови, що iснували на кiнець звiтного перiоду (подiї, якi вимагають коригування фiнансової звiтностi за 2022 рiк); та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подiї, якi свiдчать про умови, що виникли пiсля звiтного перiоду (подiї, якi не вимагають коригування фiнан</w:t>
      </w:r>
      <w:r>
        <w:rPr>
          <w:rFonts w:ascii="Times New Roman CYR" w:hAnsi="Times New Roman CYR" w:cs="Times New Roman CYR"/>
          <w:sz w:val="24"/>
          <w:szCs w:val="24"/>
        </w:rPr>
        <w:t>сової звiтностi, але вимагають певних розкритiв).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Жодної з наведених вище подiй не виявлено.</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 ризики вiйськових дiй та економiчнi наслiдки вiйни можуть вплинути на бухгалтерськiй облiк  та звiтнiсть компанiї. Вплив залежить вiд таких чинникiв як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-залежнiсть вiд росiйського чи бiлоруського ринкiв   - Товариство не має залежностi вiд вказаних ринкiв;</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-наявнiсть дочiрнiх компанiй або активiв в Росiї, Бiлорусiї або в зонi бойових дiй - у товариства вiдсутнi дочiрнi компанiї або активи в Росiї та</w:t>
      </w:r>
      <w:r>
        <w:rPr>
          <w:rFonts w:ascii="Times New Roman CYR" w:hAnsi="Times New Roman CYR" w:cs="Times New Roman CYR"/>
          <w:sz w:val="24"/>
          <w:szCs w:val="24"/>
        </w:rPr>
        <w:t xml:space="preserve"> Бiлорусiї .Зона бойових дiй постiйно змiнюється та розширюється i тому погано пiдлягає прогнозуванню вплив бойових дiй на  дiяльнiсть Товариства;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 пов'язанiсть з особами,  що перебувають пiд санкцiями - пов'язанiсть зi вказаними особами у товариствi в</w:t>
      </w:r>
      <w:r>
        <w:rPr>
          <w:rFonts w:ascii="Times New Roman CYR" w:hAnsi="Times New Roman CYR" w:cs="Times New Roman CYR"/>
          <w:sz w:val="24"/>
          <w:szCs w:val="24"/>
        </w:rPr>
        <w:t>iдсутня.</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Цей вплив переглядається, оскiльки подальший  розвиток, тривалiсть та вплив вiйни неможливо передбачити та оцiнити як вiн вплине на економiку країни в цiлому та в окремих галузях економiки.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Керiвник</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_____________________ </w:t>
      </w:r>
      <w:r>
        <w:rPr>
          <w:rFonts w:ascii="Times New Roman CYR" w:hAnsi="Times New Roman CYR" w:cs="Times New Roman CYR"/>
          <w:sz w:val="24"/>
          <w:szCs w:val="24"/>
        </w:rPr>
        <w:tab/>
      </w:r>
      <w:r>
        <w:rPr>
          <w:rFonts w:ascii="Times New Roman CYR" w:hAnsi="Times New Roman CYR" w:cs="Times New Roman CYR"/>
          <w:sz w:val="24"/>
          <w:szCs w:val="24"/>
        </w:rPr>
        <w:tab/>
        <w:t xml:space="preserve">I.О. Яхниця </w:t>
      </w:r>
      <w:r>
        <w:rPr>
          <w:rFonts w:ascii="Times New Roman CYR" w:hAnsi="Times New Roman CYR" w:cs="Times New Roman CYR"/>
          <w:sz w:val="24"/>
          <w:szCs w:val="24"/>
        </w:rPr>
        <w:tab/>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8"/>
          <w:szCs w:val="28"/>
        </w:rPr>
      </w:pPr>
      <w:bookmarkStart w:id="0" w:name="_GoBack"/>
      <w:bookmarkEnd w:id="0"/>
      <w:r>
        <w:rPr>
          <w:rFonts w:ascii="Times New Roman CYR" w:hAnsi="Times New Roman CYR" w:cs="Times New Roman CYR"/>
          <w:b/>
          <w:bCs/>
          <w:sz w:val="28"/>
          <w:szCs w:val="28"/>
        </w:rPr>
        <w:t>ХV. Проміжний звіт керівництва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проводить власну полiтику стосовно клiєнтiв, ресурсiв та вкладень у вiдповiднiсть iз завданнями стратегiчного розвитку та забезпечення їх адекватностi вимогам ринку та о</w:t>
      </w:r>
      <w:r>
        <w:rPr>
          <w:rFonts w:ascii="Times New Roman CYR" w:hAnsi="Times New Roman CYR" w:cs="Times New Roman CYR"/>
          <w:sz w:val="24"/>
          <w:szCs w:val="24"/>
        </w:rPr>
        <w:t>чiкуванням суспiльства.</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Злиття, приєднання, подiл, видiлення Товариства у звiтному перiодi не вiдбувалось.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та акцiонери мають намiр i в подальшому розвивати дiяльнiсть Товариства в Українi. Товариство виконує ключовi нормативи дiяльностi.</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w:t>
      </w:r>
      <w:r>
        <w:rPr>
          <w:rFonts w:ascii="Times New Roman CYR" w:hAnsi="Times New Roman CYR" w:cs="Times New Roman CYR"/>
          <w:sz w:val="24"/>
          <w:szCs w:val="24"/>
        </w:rPr>
        <w:t>лiтична та економiчна ситуацiя в Українi залишалася нестабiльною в результатi введення воєнного стану, пов'язаного iз здiйсненням повномасштабної збоєної агресiї з боку РФ. Уряд країни продовжує впроваджувати комплексну</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програму структурних реформ, спрямо</w:t>
      </w:r>
      <w:r>
        <w:rPr>
          <w:rFonts w:ascii="Times New Roman CYR" w:hAnsi="Times New Roman CYR" w:cs="Times New Roman CYR"/>
          <w:sz w:val="24"/>
          <w:szCs w:val="24"/>
        </w:rPr>
        <w:t>вану на усунення iснуючих диспропорцiй суспiльно-економiчного середовища з метою забезпечення умови для вiдновлення економiки.</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Ключовими ризиками для стабiлiзацiї суспiльно-економiчного середовища в Українi у найближчому майбутньому є: невизначенiсть, яка</w:t>
      </w:r>
      <w:r>
        <w:rPr>
          <w:rFonts w:ascii="Times New Roman CYR" w:hAnsi="Times New Roman CYR" w:cs="Times New Roman CYR"/>
          <w:sz w:val="24"/>
          <w:szCs w:val="24"/>
        </w:rPr>
        <w:t xml:space="preserve"> пов'язана iз запровадженням та тривалiстю воєнного стану в Українi, безпека спiвробiтникiв, безперервне функцiонування Товариства, невизначенiсть у вiдновленнi повноцiнної спiвпрацi з МВФ, триваюча нестабiльнiсть на традицiйних експортних товарних ринках </w:t>
      </w:r>
      <w:r>
        <w:rPr>
          <w:rFonts w:ascii="Times New Roman CYR" w:hAnsi="Times New Roman CYR" w:cs="Times New Roman CYR"/>
          <w:sz w:val="24"/>
          <w:szCs w:val="24"/>
        </w:rPr>
        <w:t>країни, слабкiсть нацiональної валюти, та залежнiсть</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країни вiд зовнiшнiх запозичень. Негативний розвиток подiй у полiтичнiй ситуацiї, макроекономiчних умовах та/або умовах зовнiшньої торгiвлi є можливим i може негативно впливати на фiнансовий стан та рез</w:t>
      </w:r>
      <w:r>
        <w:rPr>
          <w:rFonts w:ascii="Times New Roman CYR" w:hAnsi="Times New Roman CYR" w:cs="Times New Roman CYR"/>
          <w:sz w:val="24"/>
          <w:szCs w:val="24"/>
        </w:rPr>
        <w:t>ультати дiяльностi ПрАТ "СК "САТIС" .</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Промiжний звiт керiвництва включає достовiрне та об'єктивне подання iнформацiї. Керiвництво Товариства стверджує, що, наскiльки це їм вiдомо, промiжна фiнансова звiтнiсть, пiдготовлена вiдповiдно до стандартiв бухгалтерського облiку, згiдно iз Законом Укра</w:t>
      </w:r>
      <w:r>
        <w:rPr>
          <w:rFonts w:ascii="Times New Roman CYR" w:hAnsi="Times New Roman CYR" w:cs="Times New Roman CYR"/>
          <w:sz w:val="24"/>
          <w:szCs w:val="24"/>
        </w:rPr>
        <w:t>їни "Про бухгалтерський облiк та фiнансову звiтнiсть", мiстить достовiрне та об'єктивне подання iнформацiї про стан активiв, пасивiв, фiнансовий стан, прибутки та збитки емiтента.</w:t>
      </w: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13A3F">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E13A3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ХVІ. Твердження щодо проміжної інформації</w:t>
      </w:r>
    </w:p>
    <w:p w:rsidR="00000000" w:rsidRDefault="00E13A3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w:t>
      </w:r>
      <w:r>
        <w:rPr>
          <w:rFonts w:ascii="Times New Roman CYR" w:hAnsi="Times New Roman CYR" w:cs="Times New Roman CYR"/>
          <w:sz w:val="24"/>
          <w:szCs w:val="24"/>
        </w:rPr>
        <w:t>ства стверджує, що, наскiльки це їм вiдомо, промiжна фiнансова звiтнiсть, пiдготовлена вiдповiдно до стандартiв бухгалтерського облiку, згiдно iз Законом України "Про бухгалтерський облiк та фiнансову звiтнiсть", мiстить достовiрне та об'єктивне подання iн</w:t>
      </w:r>
      <w:r>
        <w:rPr>
          <w:rFonts w:ascii="Times New Roman CYR" w:hAnsi="Times New Roman CYR" w:cs="Times New Roman CYR"/>
          <w:sz w:val="24"/>
          <w:szCs w:val="24"/>
        </w:rPr>
        <w:t>формацiї про стан активiв, пасивiв, фiнансовий стан, прибутки та збитки емiтента.</w:t>
      </w:r>
    </w:p>
    <w:p w:rsidR="00E13A3F" w:rsidRDefault="00E13A3F">
      <w:pPr>
        <w:widowControl w:val="0"/>
        <w:autoSpaceDE w:val="0"/>
        <w:autoSpaceDN w:val="0"/>
        <w:adjustRightInd w:val="0"/>
        <w:spacing w:after="0" w:line="240" w:lineRule="auto"/>
        <w:rPr>
          <w:rFonts w:ascii="Times New Roman CYR" w:hAnsi="Times New Roman CYR" w:cs="Times New Roman CYR"/>
          <w:sz w:val="24"/>
          <w:szCs w:val="24"/>
        </w:rPr>
      </w:pPr>
    </w:p>
    <w:sectPr w:rsidR="00E13A3F">
      <w:pgSz w:w="12240" w:h="15840"/>
      <w:pgMar w:top="850" w:right="850" w:bottom="850" w:left="14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0A7"/>
    <w:rsid w:val="005530A7"/>
    <w:rsid w:val="00E13A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578ACCD-0983-4CEB-93D2-3AD1822FB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77</Pages>
  <Words>21652</Words>
  <Characters>123417</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tkosenko</dc:creator>
  <cp:keywords/>
  <dc:description/>
  <cp:lastModifiedBy>tkosenko</cp:lastModifiedBy>
  <cp:revision>2</cp:revision>
  <dcterms:created xsi:type="dcterms:W3CDTF">2023-12-27T09:36:00Z</dcterms:created>
  <dcterms:modified xsi:type="dcterms:W3CDTF">2023-12-27T09:36:00Z</dcterms:modified>
</cp:coreProperties>
</file>